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97415" w14:textId="0B0C98DC" w:rsidR="000C00D0" w:rsidRPr="00BB59CC" w:rsidRDefault="003A0587" w:rsidP="000C00D0">
      <w:pPr>
        <w:keepNext/>
        <w:keepLines/>
        <w:pBdr>
          <w:bottom w:val="single" w:sz="4" w:space="2" w:color="ED7D31"/>
        </w:pBdr>
        <w:tabs>
          <w:tab w:val="right" w:pos="9638"/>
        </w:tabs>
        <w:spacing w:before="360" w:after="120" w:line="240" w:lineRule="auto"/>
        <w:jc w:val="right"/>
        <w:outlineLvl w:val="0"/>
        <w:rPr>
          <w:rFonts w:asciiTheme="majorBidi" w:eastAsia="Times New Roman" w:hAnsiTheme="majorBidi" w:cstheme="majorBidi"/>
          <w:color w:val="262626"/>
          <w:sz w:val="24"/>
          <w:szCs w:val="24"/>
        </w:rPr>
      </w:pPr>
      <w:bookmarkStart w:id="0" w:name="_Ref38539939"/>
      <w:bookmarkStart w:id="1" w:name="_Ref38541068"/>
      <w:bookmarkStart w:id="2" w:name="_Ref38885053"/>
      <w:bookmarkStart w:id="3" w:name="_Ref38899023"/>
      <w:bookmarkStart w:id="4" w:name="_Toc213172892"/>
      <w:r w:rsidRPr="00BB59CC">
        <w:rPr>
          <w:rFonts w:asciiTheme="majorBidi" w:eastAsia="Calibri" w:hAnsiTheme="majorBidi" w:cstheme="majorBidi"/>
          <w:color w:val="0070C0"/>
          <w:sz w:val="24"/>
          <w:szCs w:val="24"/>
        </w:rPr>
        <w:t>Pirkimo sąlygų 2 priedas „Techninė specifikacija“</w:t>
      </w:r>
      <w:bookmarkEnd w:id="0"/>
      <w:bookmarkEnd w:id="1"/>
      <w:bookmarkEnd w:id="2"/>
      <w:bookmarkEnd w:id="3"/>
      <w:bookmarkEnd w:id="4"/>
    </w:p>
    <w:p w14:paraId="7B1EEDE0" w14:textId="77777777" w:rsidR="003A0587" w:rsidRPr="001C259F" w:rsidRDefault="003A0587" w:rsidP="00832DDD">
      <w:pPr>
        <w:spacing w:after="0"/>
        <w:jc w:val="center"/>
        <w:rPr>
          <w:rFonts w:cstheme="minorHAnsi"/>
          <w:b/>
          <w:bCs/>
        </w:rPr>
      </w:pPr>
    </w:p>
    <w:p w14:paraId="16720682" w14:textId="77777777" w:rsidR="00A26D0C" w:rsidRPr="00A26D0C" w:rsidRDefault="00A26D0C" w:rsidP="00A26D0C">
      <w:pPr>
        <w:spacing w:after="0"/>
        <w:jc w:val="center"/>
        <w:rPr>
          <w:rFonts w:ascii="Times New Roman" w:eastAsia="Calibri" w:hAnsi="Times New Roman" w:cs="Times New Roman"/>
          <w:b/>
          <w:bCs/>
          <w:sz w:val="24"/>
          <w:szCs w:val="24"/>
          <w:lang w:eastAsia="en-US"/>
        </w:rPr>
      </w:pPr>
      <w:bookmarkStart w:id="5" w:name="_Hlk214524160"/>
      <w:r w:rsidRPr="00A26D0C">
        <w:rPr>
          <w:rFonts w:ascii="Times New Roman" w:eastAsia="Calibri" w:hAnsi="Times New Roman" w:cs="Times New Roman"/>
          <w:b/>
          <w:sz w:val="24"/>
          <w:szCs w:val="24"/>
          <w:lang w:eastAsia="en-US"/>
        </w:rPr>
        <w:t>VERTINIMO „</w:t>
      </w:r>
      <w:r w:rsidRPr="00A26D0C">
        <w:rPr>
          <w:rFonts w:ascii="Times New Roman" w:eastAsia="Calibri" w:hAnsi="Times New Roman" w:cs="Times New Roman"/>
          <w:b/>
          <w:bCs/>
          <w:sz w:val="24"/>
          <w:szCs w:val="24"/>
          <w:lang w:eastAsia="en-US"/>
        </w:rPr>
        <w:t>ŽŪŽIS IR SP INDĖLIO Į BŽŪP KOMPLEKSINIO TIKSLO ĮGYVENDINIMĄ VERTINIMAS“ PASLAUGŲ PIRKIMO</w:t>
      </w:r>
    </w:p>
    <w:p w14:paraId="2F706E76" w14:textId="77777777" w:rsidR="00A26D0C" w:rsidRPr="00A26D0C" w:rsidRDefault="00A26D0C" w:rsidP="00A26D0C">
      <w:pPr>
        <w:tabs>
          <w:tab w:val="left" w:pos="993"/>
        </w:tabs>
        <w:spacing w:after="0"/>
        <w:ind w:left="709"/>
        <w:jc w:val="center"/>
        <w:rPr>
          <w:rFonts w:ascii="Times New Roman" w:eastAsia="Calibri" w:hAnsi="Times New Roman" w:cs="Times New Roman"/>
          <w:b/>
          <w:bCs/>
          <w:sz w:val="24"/>
          <w:szCs w:val="24"/>
          <w:lang w:eastAsia="en-US"/>
        </w:rPr>
      </w:pPr>
    </w:p>
    <w:p w14:paraId="074A786B" w14:textId="77777777" w:rsidR="00A26D0C" w:rsidRPr="00A26D0C" w:rsidRDefault="00A26D0C" w:rsidP="00A26D0C">
      <w:pPr>
        <w:tabs>
          <w:tab w:val="left" w:pos="0"/>
        </w:tabs>
        <w:spacing w:after="0"/>
        <w:jc w:val="center"/>
        <w:rPr>
          <w:rFonts w:ascii="Times New Roman" w:eastAsia="Calibri" w:hAnsi="Times New Roman" w:cs="Times New Roman"/>
          <w:b/>
          <w:bCs/>
          <w:sz w:val="24"/>
          <w:szCs w:val="24"/>
          <w:lang w:eastAsia="en-US"/>
        </w:rPr>
      </w:pPr>
      <w:r w:rsidRPr="00A26D0C">
        <w:rPr>
          <w:rFonts w:ascii="Times New Roman" w:eastAsia="Calibri" w:hAnsi="Times New Roman" w:cs="Times New Roman"/>
          <w:b/>
          <w:sz w:val="24"/>
          <w:szCs w:val="24"/>
          <w:lang w:eastAsia="en-US"/>
        </w:rPr>
        <w:t>TECHNINĖ SPECIFIKACIJA</w:t>
      </w:r>
    </w:p>
    <w:p w14:paraId="4EFA424A" w14:textId="77777777" w:rsidR="00A26D0C" w:rsidRPr="00A26D0C" w:rsidRDefault="00A26D0C" w:rsidP="00A26D0C">
      <w:pPr>
        <w:tabs>
          <w:tab w:val="left" w:pos="993"/>
        </w:tabs>
        <w:spacing w:after="0"/>
        <w:ind w:left="709"/>
        <w:jc w:val="center"/>
        <w:rPr>
          <w:rFonts w:ascii="Times New Roman" w:eastAsia="Calibri" w:hAnsi="Times New Roman" w:cs="Times New Roman"/>
          <w:b/>
          <w:bCs/>
          <w:sz w:val="24"/>
          <w:szCs w:val="24"/>
          <w:lang w:eastAsia="en-US"/>
        </w:rPr>
      </w:pPr>
    </w:p>
    <w:p w14:paraId="71CDEB2B" w14:textId="77777777" w:rsidR="00A26D0C" w:rsidRPr="00A26D0C" w:rsidRDefault="00A26D0C" w:rsidP="00A26D0C">
      <w:pPr>
        <w:tabs>
          <w:tab w:val="left" w:pos="0"/>
        </w:tabs>
        <w:spacing w:after="0" w:line="360" w:lineRule="auto"/>
        <w:contextualSpacing/>
        <w:jc w:val="center"/>
        <w:rPr>
          <w:rFonts w:ascii="Times New Roman" w:eastAsia="Calibri" w:hAnsi="Times New Roman" w:cs="Times New Roman"/>
          <w:b/>
          <w:bCs/>
          <w:sz w:val="24"/>
          <w:szCs w:val="24"/>
          <w:lang w:eastAsia="en-US"/>
        </w:rPr>
      </w:pPr>
      <w:r w:rsidRPr="00A26D0C">
        <w:rPr>
          <w:rFonts w:ascii="Times New Roman" w:eastAsia="Calibri" w:hAnsi="Times New Roman" w:cs="Times New Roman"/>
          <w:b/>
          <w:bCs/>
          <w:sz w:val="24"/>
          <w:szCs w:val="24"/>
          <w:lang w:eastAsia="en-US"/>
        </w:rPr>
        <w:t>I. PIRKIMO OBJEKTAS IR VERTINIMO PAGRINDIMAS</w:t>
      </w:r>
    </w:p>
    <w:p w14:paraId="03C3CC1B" w14:textId="77777777" w:rsidR="00A26D0C" w:rsidRPr="00A26D0C" w:rsidRDefault="00A26D0C" w:rsidP="00A26D0C">
      <w:pPr>
        <w:numPr>
          <w:ilvl w:val="0"/>
          <w:numId w:val="22"/>
        </w:numPr>
        <w:tabs>
          <w:tab w:val="left" w:pos="993"/>
        </w:tabs>
        <w:spacing w:after="0"/>
        <w:ind w:left="0" w:firstLine="709"/>
        <w:contextualSpacing/>
        <w:jc w:val="both"/>
        <w:rPr>
          <w:rFonts w:ascii="Times New Roman" w:eastAsia="Calibri" w:hAnsi="Times New Roman" w:cs="Times New Roman"/>
          <w:sz w:val="24"/>
          <w:szCs w:val="24"/>
          <w:lang w:eastAsia="en-US"/>
        </w:rPr>
      </w:pPr>
      <w:r w:rsidRPr="00A26D0C">
        <w:rPr>
          <w:rFonts w:ascii="Times New Roman" w:eastAsia="Calibri" w:hAnsi="Times New Roman" w:cs="Times New Roman"/>
          <w:sz w:val="24"/>
          <w:szCs w:val="24"/>
          <w:lang w:eastAsia="en-US"/>
        </w:rPr>
        <w:t>Pirkimo objektas –</w:t>
      </w:r>
      <w:bookmarkStart w:id="6" w:name="_Hlk82775031"/>
      <w:r w:rsidRPr="00A26D0C">
        <w:rPr>
          <w:rFonts w:ascii="Times New Roman" w:eastAsia="Calibri" w:hAnsi="Times New Roman" w:cs="Times New Roman"/>
          <w:sz w:val="24"/>
          <w:szCs w:val="24"/>
          <w:lang w:eastAsia="en-US"/>
        </w:rPr>
        <w:t xml:space="preserve"> </w:t>
      </w:r>
      <w:r w:rsidRPr="00A26D0C">
        <w:rPr>
          <w:rFonts w:ascii="Times New Roman" w:eastAsia="Calibri" w:hAnsi="Times New Roman" w:cs="Times New Roman"/>
          <w:b/>
          <w:bCs/>
          <w:sz w:val="24"/>
          <w:szCs w:val="24"/>
          <w:lang w:eastAsia="en-US"/>
        </w:rPr>
        <w:t>vertinimo</w:t>
      </w:r>
      <w:r w:rsidRPr="00A26D0C">
        <w:rPr>
          <w:rFonts w:ascii="Times New Roman" w:eastAsia="Calibri" w:hAnsi="Times New Roman" w:cs="Times New Roman"/>
          <w:sz w:val="24"/>
          <w:szCs w:val="24"/>
          <w:lang w:eastAsia="en-US"/>
        </w:rPr>
        <w:t xml:space="preserve"> „ŽŪŽIS ir SP indėlio į BŽŪP kompleksinio tikslo įgyvendinimą vertinimas“ </w:t>
      </w:r>
      <w:bookmarkEnd w:id="6"/>
      <w:r w:rsidRPr="00A26D0C">
        <w:rPr>
          <w:rFonts w:ascii="Times New Roman" w:eastAsia="Calibri" w:hAnsi="Times New Roman" w:cs="Times New Roman"/>
          <w:sz w:val="24"/>
          <w:szCs w:val="24"/>
          <w:lang w:eastAsia="en-US"/>
        </w:rPr>
        <w:t xml:space="preserve">(toliau – Vertinimas) </w:t>
      </w:r>
      <w:r w:rsidRPr="00A26D0C">
        <w:rPr>
          <w:rFonts w:ascii="Times New Roman" w:eastAsia="Calibri" w:hAnsi="Times New Roman" w:cs="Times New Roman"/>
          <w:b/>
          <w:bCs/>
          <w:sz w:val="24"/>
          <w:szCs w:val="24"/>
          <w:lang w:eastAsia="en-US"/>
        </w:rPr>
        <w:t>atlikimo paslaugos.</w:t>
      </w:r>
      <w:r w:rsidRPr="00A26D0C">
        <w:rPr>
          <w:rFonts w:ascii="Times New Roman" w:eastAsia="Calibri" w:hAnsi="Times New Roman" w:cs="Times New Roman"/>
          <w:sz w:val="24"/>
          <w:szCs w:val="24"/>
          <w:lang w:eastAsia="en-US"/>
        </w:rPr>
        <w:t xml:space="preserve"> </w:t>
      </w:r>
    </w:p>
    <w:p w14:paraId="0979E87A" w14:textId="77777777" w:rsidR="00A26D0C" w:rsidRPr="00A26D0C" w:rsidRDefault="00A26D0C" w:rsidP="00A26D0C">
      <w:pPr>
        <w:numPr>
          <w:ilvl w:val="0"/>
          <w:numId w:val="22"/>
        </w:numPr>
        <w:tabs>
          <w:tab w:val="left" w:pos="993"/>
        </w:tabs>
        <w:spacing w:after="0"/>
        <w:ind w:left="0" w:firstLine="709"/>
        <w:contextualSpacing/>
        <w:jc w:val="both"/>
        <w:rPr>
          <w:rFonts w:ascii="Times New Roman" w:eastAsia="Calibri" w:hAnsi="Times New Roman" w:cs="Times New Roman"/>
          <w:sz w:val="24"/>
          <w:szCs w:val="24"/>
          <w:lang w:eastAsia="en-US"/>
        </w:rPr>
      </w:pPr>
      <w:r w:rsidRPr="00A26D0C">
        <w:rPr>
          <w:rFonts w:ascii="Times New Roman" w:eastAsia="Calibri" w:hAnsi="Times New Roman" w:cs="Times New Roman"/>
          <w:sz w:val="24"/>
          <w:szCs w:val="24"/>
          <w:lang w:eastAsia="en-US"/>
        </w:rPr>
        <w:t>Vertinimo paslaugų užsakovas – Lietuvos Respublikos žemės ūkio ministerija (toliau – Ministerija / Užsakovas).</w:t>
      </w:r>
    </w:p>
    <w:p w14:paraId="24D83A6F" w14:textId="77777777" w:rsidR="00A26D0C" w:rsidRPr="00A26D0C" w:rsidRDefault="00A26D0C" w:rsidP="00A26D0C">
      <w:pPr>
        <w:numPr>
          <w:ilvl w:val="0"/>
          <w:numId w:val="22"/>
        </w:numPr>
        <w:tabs>
          <w:tab w:val="left" w:pos="993"/>
        </w:tabs>
        <w:spacing w:after="0"/>
        <w:ind w:left="0" w:firstLine="709"/>
        <w:contextualSpacing/>
        <w:jc w:val="both"/>
        <w:rPr>
          <w:rFonts w:ascii="Times New Roman" w:eastAsia="Calibri" w:hAnsi="Times New Roman" w:cs="Times New Roman"/>
          <w:sz w:val="24"/>
          <w:szCs w:val="24"/>
          <w:lang w:eastAsia="en-US"/>
        </w:rPr>
      </w:pPr>
      <w:r w:rsidRPr="00A26D0C">
        <w:rPr>
          <w:rFonts w:ascii="Times New Roman" w:eastAsia="Calibri" w:hAnsi="Times New Roman" w:cs="Times New Roman"/>
          <w:sz w:val="24"/>
          <w:szCs w:val="24"/>
          <w:lang w:eastAsia="en-US"/>
        </w:rPr>
        <w:t>Vertinimo paslaugos tūri būti atliekamas vadovaujantis:</w:t>
      </w:r>
      <w:bookmarkStart w:id="7" w:name="_Hlk204001776"/>
    </w:p>
    <w:p w14:paraId="16466AF3" w14:textId="77777777" w:rsidR="00A26D0C" w:rsidRPr="00A26D0C" w:rsidRDefault="00A26D0C" w:rsidP="00A26D0C">
      <w:pPr>
        <w:numPr>
          <w:ilvl w:val="1"/>
          <w:numId w:val="43"/>
        </w:numPr>
        <w:tabs>
          <w:tab w:val="left" w:pos="709"/>
          <w:tab w:val="left" w:pos="1418"/>
        </w:tabs>
        <w:spacing w:after="0"/>
        <w:ind w:left="0" w:firstLine="993"/>
        <w:contextualSpacing/>
        <w:jc w:val="both"/>
        <w:rPr>
          <w:rFonts w:ascii="Times New Roman" w:eastAsia="Calibri" w:hAnsi="Times New Roman" w:cs="Times New Roman"/>
          <w:sz w:val="24"/>
          <w:szCs w:val="24"/>
          <w:lang w:eastAsia="en-US"/>
        </w:rPr>
      </w:pPr>
      <w:r w:rsidRPr="00A26D0C">
        <w:rPr>
          <w:rFonts w:ascii="Times New Roman" w:eastAsia="Calibri" w:hAnsi="Times New Roman" w:cs="Times New Roman"/>
          <w:sz w:val="24"/>
          <w:szCs w:val="24"/>
          <w:lang w:eastAsia="en-US"/>
        </w:rPr>
        <w:t>Europos Parlamento ir Tarybos reglamentu (ES) 2021/2115, kuriuo nustatomos valstybių narių pagal bendrą žemės ūkio politiką (toliau – BŽŪP) rengtinų strateginių planų, finansuotinų iš Europos žemės ūkio garantijų fondo (EŽŪGF) ir iš Europos žemės ūkio fondo kaimo plėtrai (EŽŪFKP), rėmimo taisyklės ir panaikinami reglamentai (ES) Nr. 1305/2013 ir (ES) Nr. 1307/2013;</w:t>
      </w:r>
      <w:bookmarkEnd w:id="7"/>
    </w:p>
    <w:p w14:paraId="2681AFB7" w14:textId="77777777" w:rsidR="00A26D0C" w:rsidRPr="00A26D0C" w:rsidRDefault="00A26D0C" w:rsidP="00A26D0C">
      <w:pPr>
        <w:numPr>
          <w:ilvl w:val="1"/>
          <w:numId w:val="43"/>
        </w:numPr>
        <w:tabs>
          <w:tab w:val="left" w:pos="709"/>
          <w:tab w:val="left" w:pos="1418"/>
        </w:tabs>
        <w:spacing w:after="0"/>
        <w:ind w:left="0" w:firstLine="993"/>
        <w:contextualSpacing/>
        <w:jc w:val="both"/>
        <w:rPr>
          <w:rFonts w:ascii="Times New Roman" w:eastAsia="Calibri" w:hAnsi="Times New Roman" w:cs="Times New Roman"/>
          <w:sz w:val="24"/>
          <w:szCs w:val="24"/>
          <w:lang w:eastAsia="en-US"/>
        </w:rPr>
      </w:pPr>
      <w:r w:rsidRPr="00A26D0C">
        <w:rPr>
          <w:rFonts w:ascii="Times New Roman" w:eastAsia="Times New Roman" w:hAnsi="Times New Roman" w:cs="Times New Roman"/>
          <w:sz w:val="24"/>
          <w:szCs w:val="24"/>
          <w:lang w:eastAsia="en-US"/>
        </w:rPr>
        <w:t>2022 m. rugsėjo 6 d. Komisijos įgyvendinimo reglamentu (ES) 2022/1475, kuriuo nustatomos išsamios Europos Parlamento ir Tarybos reglamento (ES) 2021/2115 įgyvendinimo taisyklės, susijusios su BŽŪP strateginių planų vertinimu ir stebėsenai bei vertinimui reikalingos informacijos teikimu</w:t>
      </w:r>
      <w:r w:rsidRPr="00A26D0C">
        <w:rPr>
          <w:rFonts w:ascii="Times New Roman" w:eastAsia="Calibri" w:hAnsi="Times New Roman" w:cs="Times New Roman"/>
          <w:sz w:val="24"/>
          <w:szCs w:val="24"/>
          <w:lang w:eastAsia="en-US"/>
        </w:rPr>
        <w:t>;</w:t>
      </w:r>
    </w:p>
    <w:p w14:paraId="583EC53D" w14:textId="77777777" w:rsidR="00A26D0C" w:rsidRPr="00A26D0C" w:rsidRDefault="00A26D0C" w:rsidP="00A26D0C">
      <w:pPr>
        <w:numPr>
          <w:ilvl w:val="1"/>
          <w:numId w:val="43"/>
        </w:numPr>
        <w:tabs>
          <w:tab w:val="left" w:pos="709"/>
          <w:tab w:val="left" w:pos="1418"/>
        </w:tabs>
        <w:spacing w:after="0"/>
        <w:ind w:left="0" w:firstLine="993"/>
        <w:contextualSpacing/>
        <w:jc w:val="both"/>
        <w:rPr>
          <w:rFonts w:ascii="Times New Roman" w:eastAsia="Calibri" w:hAnsi="Times New Roman" w:cs="Times New Roman"/>
          <w:sz w:val="24"/>
          <w:szCs w:val="24"/>
          <w:lang w:eastAsia="en-US"/>
        </w:rPr>
      </w:pPr>
      <w:r w:rsidRPr="00A26D0C">
        <w:rPr>
          <w:rFonts w:ascii="Times New Roman" w:eastAsia="Times New Roman" w:hAnsi="Times New Roman" w:cs="Times New Roman"/>
          <w:sz w:val="24"/>
          <w:szCs w:val="24"/>
          <w:lang w:eastAsia="en-US"/>
        </w:rPr>
        <w:t xml:space="preserve">Europos Parlamento ir Tarybos reglamento (ES) 2021/1060, kuriuo nustatomos bendros Europos regioninės plėtros fondo, Europos socialinio fondo +, Sanglaudos fondo, Teisingos pertvarkos fondo ir Europos jūrų reikalų, žvejybos ir akvakultūros fondo nuostatos ir šių fondų bei Prieglobsčio, migracijos ir integracijos fondo, Vidaus saugumo fondo ir Sienų valdymo ir vizų politikos finansinės paramos priemonės taisyklės, </w:t>
      </w:r>
      <w:r w:rsidRPr="00A26D0C">
        <w:rPr>
          <w:rFonts w:ascii="Times New Roman" w:eastAsia="Calibri" w:hAnsi="Times New Roman" w:cs="Times New Roman"/>
          <w:sz w:val="24"/>
          <w:szCs w:val="24"/>
          <w:lang w:eastAsia="en-US"/>
        </w:rPr>
        <w:t>IV antraštinės dalies II skyriaus 44 straipsniu;</w:t>
      </w:r>
    </w:p>
    <w:p w14:paraId="7B21931E" w14:textId="77777777" w:rsidR="00A26D0C" w:rsidRPr="00A26D0C" w:rsidRDefault="00A26D0C" w:rsidP="00A26D0C">
      <w:pPr>
        <w:numPr>
          <w:ilvl w:val="1"/>
          <w:numId w:val="43"/>
        </w:numPr>
        <w:tabs>
          <w:tab w:val="left" w:pos="709"/>
          <w:tab w:val="left" w:pos="1418"/>
        </w:tabs>
        <w:spacing w:after="0"/>
        <w:ind w:left="0" w:firstLine="993"/>
        <w:contextualSpacing/>
        <w:jc w:val="both"/>
        <w:rPr>
          <w:rFonts w:ascii="Times New Roman" w:eastAsia="Calibri" w:hAnsi="Times New Roman" w:cs="Times New Roman"/>
          <w:sz w:val="24"/>
          <w:szCs w:val="24"/>
          <w:lang w:eastAsia="en-US"/>
        </w:rPr>
      </w:pPr>
      <w:r w:rsidRPr="00A26D0C">
        <w:rPr>
          <w:rFonts w:ascii="Times New Roman" w:eastAsia="Calibri" w:hAnsi="Times New Roman" w:cs="Times New Roman"/>
          <w:sz w:val="24"/>
          <w:szCs w:val="24"/>
          <w:lang w:eastAsia="en-US"/>
        </w:rPr>
        <w:t xml:space="preserve">Lietuvos žemės ūkio ir kaimo plėtros 2023–2027 metų strateginiu planu (toliau – </w:t>
      </w:r>
      <w:r w:rsidRPr="00A26D0C">
        <w:rPr>
          <w:rFonts w:ascii="Times New Roman" w:eastAsia="Calibri" w:hAnsi="Times New Roman" w:cs="Times New Roman"/>
          <w:b/>
          <w:bCs/>
          <w:sz w:val="24"/>
          <w:szCs w:val="24"/>
          <w:lang w:eastAsia="en-US"/>
        </w:rPr>
        <w:t>SP</w:t>
      </w:r>
      <w:r w:rsidRPr="00A26D0C">
        <w:rPr>
          <w:rFonts w:ascii="Times New Roman" w:eastAsia="Calibri" w:hAnsi="Times New Roman" w:cs="Times New Roman"/>
          <w:sz w:val="24"/>
          <w:szCs w:val="24"/>
          <w:lang w:eastAsia="en-US"/>
        </w:rPr>
        <w:t>);</w:t>
      </w:r>
    </w:p>
    <w:p w14:paraId="5215DD8F" w14:textId="77777777" w:rsidR="00A26D0C" w:rsidRPr="00A26D0C" w:rsidRDefault="00A26D0C" w:rsidP="00A26D0C">
      <w:pPr>
        <w:numPr>
          <w:ilvl w:val="1"/>
          <w:numId w:val="43"/>
        </w:numPr>
        <w:tabs>
          <w:tab w:val="left" w:pos="709"/>
          <w:tab w:val="left" w:pos="1418"/>
        </w:tabs>
        <w:spacing w:after="0"/>
        <w:ind w:left="0" w:firstLine="993"/>
        <w:contextualSpacing/>
        <w:jc w:val="both"/>
        <w:rPr>
          <w:rFonts w:ascii="Times New Roman" w:eastAsia="Calibri" w:hAnsi="Times New Roman" w:cs="Times New Roman"/>
          <w:sz w:val="24"/>
          <w:szCs w:val="24"/>
          <w:lang w:eastAsia="en-US"/>
        </w:rPr>
      </w:pPr>
      <w:r w:rsidRPr="00A26D0C">
        <w:rPr>
          <w:rFonts w:ascii="Times New Roman" w:eastAsia="Calibri" w:hAnsi="Times New Roman" w:cs="Times New Roman"/>
          <w:sz w:val="24"/>
          <w:szCs w:val="24"/>
          <w:lang w:eastAsia="en-US"/>
        </w:rPr>
        <w:t xml:space="preserve">SP vertinimo planu, patvirtintu Lietuvos Respublikos žemės ūkio ministro 2023 m. gruodžio 8 d. įsakymu Nr. 3D-832; </w:t>
      </w:r>
    </w:p>
    <w:p w14:paraId="2BE193F0" w14:textId="77777777" w:rsidR="00A26D0C" w:rsidRPr="00A26D0C" w:rsidRDefault="00A26D0C" w:rsidP="00A26D0C">
      <w:pPr>
        <w:numPr>
          <w:ilvl w:val="1"/>
          <w:numId w:val="43"/>
        </w:numPr>
        <w:tabs>
          <w:tab w:val="left" w:pos="709"/>
          <w:tab w:val="left" w:pos="1418"/>
        </w:tabs>
        <w:spacing w:after="0"/>
        <w:ind w:left="0" w:firstLine="993"/>
        <w:contextualSpacing/>
        <w:jc w:val="both"/>
        <w:rPr>
          <w:rFonts w:ascii="Times New Roman" w:eastAsia="Calibri" w:hAnsi="Times New Roman" w:cs="Times New Roman"/>
          <w:sz w:val="24"/>
          <w:szCs w:val="24"/>
          <w:lang w:eastAsia="en-US"/>
        </w:rPr>
      </w:pPr>
      <w:r w:rsidRPr="00A26D0C">
        <w:rPr>
          <w:rFonts w:ascii="Times New Roman" w:eastAsia="Calibri" w:hAnsi="Times New Roman" w:cs="Times New Roman"/>
          <w:sz w:val="24"/>
          <w:szCs w:val="24"/>
          <w:lang w:eastAsia="en-US"/>
        </w:rPr>
        <w:t>SP detaliuoju 2025–2026 metų vertinimo planu, patvirtintu Lietuvos Respublikos žemės ūkio ministro 2025 m. kovo 7 d. įsakymu Nr. 3D-120;</w:t>
      </w:r>
    </w:p>
    <w:p w14:paraId="07F521A0" w14:textId="77777777" w:rsidR="00A26D0C" w:rsidRPr="00A26D0C" w:rsidRDefault="00A26D0C" w:rsidP="00A26D0C">
      <w:pPr>
        <w:numPr>
          <w:ilvl w:val="1"/>
          <w:numId w:val="43"/>
        </w:numPr>
        <w:tabs>
          <w:tab w:val="left" w:pos="709"/>
          <w:tab w:val="left" w:pos="1418"/>
        </w:tabs>
        <w:spacing w:after="0"/>
        <w:ind w:left="0" w:firstLine="993"/>
        <w:contextualSpacing/>
        <w:jc w:val="both"/>
        <w:rPr>
          <w:rFonts w:ascii="Times New Roman" w:eastAsia="Calibri" w:hAnsi="Times New Roman" w:cs="Times New Roman"/>
          <w:sz w:val="24"/>
          <w:szCs w:val="24"/>
          <w:lang w:eastAsia="en-US"/>
        </w:rPr>
      </w:pPr>
      <w:r w:rsidRPr="00A26D0C">
        <w:rPr>
          <w:rFonts w:ascii="Times New Roman" w:eastAsia="Calibri" w:hAnsi="Times New Roman" w:cs="Times New Roman"/>
          <w:sz w:val="24"/>
          <w:szCs w:val="24"/>
          <w:lang w:eastAsia="en-US"/>
        </w:rPr>
        <w:t>kitais susijusiais ES reglamentų reikalavimais, Europos Komisijos, Europos BŽŪP vertinimo pagalbos tarnybos parengtais aiškinamaisiais dokumentais ir gairėmis, BŽŪP strateginių planų Veiklos rezultatų stebėsenos ir vertinimo sistema (RSVS, angl. PMEF), kuri BŽŪP taikoma 2023–2027 m. laikotarpiu;</w:t>
      </w:r>
    </w:p>
    <w:p w14:paraId="6217BCE2" w14:textId="77777777" w:rsidR="00A26D0C" w:rsidRPr="00A26D0C" w:rsidRDefault="00A26D0C" w:rsidP="00A26D0C">
      <w:pPr>
        <w:numPr>
          <w:ilvl w:val="1"/>
          <w:numId w:val="43"/>
        </w:numPr>
        <w:tabs>
          <w:tab w:val="left" w:pos="709"/>
          <w:tab w:val="left" w:pos="1418"/>
        </w:tabs>
        <w:spacing w:after="0"/>
        <w:ind w:left="0" w:firstLine="993"/>
        <w:contextualSpacing/>
        <w:jc w:val="both"/>
        <w:rPr>
          <w:rFonts w:ascii="Times New Roman" w:eastAsia="Calibri" w:hAnsi="Times New Roman" w:cs="Times New Roman"/>
          <w:sz w:val="24"/>
          <w:szCs w:val="24"/>
          <w:lang w:eastAsia="en-US"/>
        </w:rPr>
      </w:pPr>
      <w:r w:rsidRPr="00A26D0C">
        <w:rPr>
          <w:rFonts w:ascii="Times New Roman" w:eastAsia="Calibri" w:hAnsi="Times New Roman" w:cs="Times New Roman"/>
          <w:sz w:val="24"/>
          <w:szCs w:val="24"/>
          <w:lang w:eastAsia="en-US"/>
        </w:rPr>
        <w:t xml:space="preserve"> šiame dokumente vartojamos sąvokos suprantamos taip, kaip jos apibrėžiamos Reglamente (ES) 2021/1060, Reglamente (ES) 2021/2115, Reglamente (ES) 2021/2116, Žemės ūkio, maisto ūkio ir kaimo plėtros įstatyme, kituose žemės ūkio ir ES finansų politikos srities ES ir nacionaliniuose teisės aktuose. Techninė specifikacijoje vartojamos apibrėžtys atitinka SP vartojamas apibrėžtis. </w:t>
      </w:r>
    </w:p>
    <w:p w14:paraId="43B60810" w14:textId="77777777" w:rsidR="00A26D0C" w:rsidRPr="00A26D0C" w:rsidRDefault="00A26D0C" w:rsidP="00A26D0C">
      <w:pPr>
        <w:numPr>
          <w:ilvl w:val="0"/>
          <w:numId w:val="43"/>
        </w:numPr>
        <w:shd w:val="clear" w:color="auto" w:fill="FFFFFF"/>
        <w:tabs>
          <w:tab w:val="left" w:pos="993"/>
        </w:tabs>
        <w:spacing w:before="240" w:after="240"/>
        <w:ind w:left="0" w:firstLine="709"/>
        <w:contextualSpacing/>
        <w:jc w:val="both"/>
        <w:rPr>
          <w:rFonts w:ascii="Times New Roman" w:eastAsia="Calibri" w:hAnsi="Times New Roman" w:cs="Times New Roman"/>
          <w:sz w:val="24"/>
          <w:szCs w:val="24"/>
          <w:lang w:eastAsia="en-US"/>
        </w:rPr>
      </w:pPr>
      <w:r w:rsidRPr="00A26D0C">
        <w:rPr>
          <w:rFonts w:ascii="Times New Roman" w:eastAsia="Calibri" w:hAnsi="Times New Roman" w:cs="Times New Roman"/>
          <w:sz w:val="24"/>
          <w:szCs w:val="24"/>
          <w:lang w:eastAsia="en-US"/>
        </w:rPr>
        <w:lastRenderedPageBreak/>
        <w:t>Vertinimo paslaugos bus finansuojamos iš SP priemonės „Techninė parama“ pirmos veiklos srities „Strateginio plano įgyvendinimas“ lėšų.</w:t>
      </w:r>
    </w:p>
    <w:p w14:paraId="39601F1C" w14:textId="77777777" w:rsidR="00A26D0C" w:rsidRPr="00A26D0C" w:rsidRDefault="00A26D0C" w:rsidP="00A26D0C">
      <w:pPr>
        <w:shd w:val="clear" w:color="auto" w:fill="FFFFFF"/>
        <w:tabs>
          <w:tab w:val="left" w:pos="993"/>
        </w:tabs>
        <w:spacing w:before="240" w:after="240"/>
        <w:ind w:left="360"/>
        <w:contextualSpacing/>
        <w:jc w:val="both"/>
        <w:rPr>
          <w:rFonts w:ascii="Times New Roman" w:eastAsia="Calibri" w:hAnsi="Times New Roman" w:cs="Times New Roman"/>
          <w:sz w:val="24"/>
          <w:szCs w:val="24"/>
          <w:lang w:eastAsia="en-US"/>
        </w:rPr>
      </w:pPr>
    </w:p>
    <w:p w14:paraId="37965215" w14:textId="77777777" w:rsidR="00A26D0C" w:rsidRPr="00A26D0C" w:rsidRDefault="00A26D0C" w:rsidP="00A26D0C">
      <w:pPr>
        <w:shd w:val="clear" w:color="auto" w:fill="FFFFFF"/>
        <w:tabs>
          <w:tab w:val="left" w:pos="993"/>
        </w:tabs>
        <w:spacing w:before="240" w:after="240"/>
        <w:ind w:left="360"/>
        <w:contextualSpacing/>
        <w:jc w:val="both"/>
        <w:rPr>
          <w:rFonts w:ascii="Times New Roman" w:eastAsia="Calibri" w:hAnsi="Times New Roman" w:cs="Times New Roman"/>
          <w:sz w:val="24"/>
          <w:szCs w:val="24"/>
          <w:lang w:eastAsia="en-US"/>
        </w:rPr>
      </w:pPr>
    </w:p>
    <w:p w14:paraId="1CD7D276" w14:textId="77777777" w:rsidR="00A26D0C" w:rsidRPr="00A26D0C" w:rsidRDefault="00A26D0C" w:rsidP="00A26D0C">
      <w:pPr>
        <w:shd w:val="clear" w:color="auto" w:fill="FFFFFF"/>
        <w:tabs>
          <w:tab w:val="left" w:pos="993"/>
        </w:tabs>
        <w:spacing w:before="240" w:after="240"/>
        <w:ind w:left="360"/>
        <w:contextualSpacing/>
        <w:jc w:val="both"/>
        <w:rPr>
          <w:rFonts w:ascii="Times New Roman" w:eastAsia="Calibri" w:hAnsi="Times New Roman" w:cs="Times New Roman"/>
          <w:sz w:val="24"/>
          <w:szCs w:val="24"/>
          <w:lang w:eastAsia="en-US"/>
        </w:rPr>
      </w:pPr>
    </w:p>
    <w:p w14:paraId="1EB1C2C0" w14:textId="77777777" w:rsidR="00A26D0C" w:rsidRPr="00A26D0C" w:rsidRDefault="00A26D0C" w:rsidP="00A26D0C">
      <w:pPr>
        <w:tabs>
          <w:tab w:val="left" w:pos="993"/>
        </w:tabs>
        <w:spacing w:after="0"/>
        <w:contextualSpacing/>
        <w:jc w:val="center"/>
        <w:rPr>
          <w:rFonts w:ascii="Times New Roman" w:eastAsia="Calibri" w:hAnsi="Times New Roman" w:cs="Times New Roman"/>
          <w:b/>
          <w:bCs/>
          <w:sz w:val="24"/>
          <w:szCs w:val="24"/>
          <w:lang w:eastAsia="en-US"/>
        </w:rPr>
      </w:pPr>
      <w:r w:rsidRPr="00A26D0C">
        <w:rPr>
          <w:rFonts w:ascii="Times New Roman" w:eastAsia="Calibri" w:hAnsi="Times New Roman" w:cs="Times New Roman"/>
          <w:b/>
          <w:bCs/>
          <w:sz w:val="24"/>
          <w:szCs w:val="24"/>
          <w:lang w:eastAsia="en-US"/>
        </w:rPr>
        <w:t>II.</w:t>
      </w:r>
      <w:r w:rsidRPr="00A26D0C">
        <w:rPr>
          <w:rFonts w:ascii="Times New Roman" w:eastAsia="Calibri" w:hAnsi="Times New Roman" w:cs="Times New Roman"/>
          <w:sz w:val="24"/>
          <w:szCs w:val="24"/>
          <w:lang w:eastAsia="en-US"/>
        </w:rPr>
        <w:t xml:space="preserve"> </w:t>
      </w:r>
      <w:r w:rsidRPr="00A26D0C">
        <w:rPr>
          <w:rFonts w:ascii="Times New Roman" w:eastAsia="Calibri" w:hAnsi="Times New Roman" w:cs="Times New Roman"/>
          <w:b/>
          <w:bCs/>
          <w:sz w:val="24"/>
          <w:szCs w:val="24"/>
          <w:lang w:eastAsia="en-US"/>
        </w:rPr>
        <w:t>VERTINIMO KONTEKSTAS</w:t>
      </w:r>
    </w:p>
    <w:p w14:paraId="2488F6F9" w14:textId="77777777" w:rsidR="00A26D0C" w:rsidRPr="00A26D0C" w:rsidRDefault="00A26D0C" w:rsidP="00A26D0C">
      <w:pPr>
        <w:numPr>
          <w:ilvl w:val="0"/>
          <w:numId w:val="43"/>
        </w:numPr>
        <w:shd w:val="clear" w:color="auto" w:fill="FFFFFF"/>
        <w:tabs>
          <w:tab w:val="left" w:pos="993"/>
        </w:tabs>
        <w:spacing w:before="240" w:after="0"/>
        <w:ind w:left="0" w:firstLine="709"/>
        <w:contextualSpacing/>
        <w:jc w:val="both"/>
        <w:rPr>
          <w:rFonts w:ascii="Times New Roman" w:eastAsia="Calibri" w:hAnsi="Times New Roman" w:cs="Times New Roman"/>
          <w:sz w:val="24"/>
          <w:szCs w:val="24"/>
          <w:lang w:eastAsia="en-US"/>
        </w:rPr>
      </w:pPr>
      <w:r w:rsidRPr="00A26D0C">
        <w:rPr>
          <w:rFonts w:ascii="Times New Roman" w:eastAsia="Calibri" w:hAnsi="Times New Roman" w:cs="Times New Roman"/>
          <w:sz w:val="24"/>
          <w:szCs w:val="24"/>
          <w:lang w:eastAsia="en-US"/>
        </w:rPr>
        <w:t>Žemės ūkio žinių ir inovacijų sistema (toliau – ŽŪŽIS), kaip apibrėžta Reglamento (ES) Nr. 2021/2115 3 straipsnio 9 dalyje, apima bendrus organizacinius ir žinių srautus tarp asmenų, organizacijų ir institucijų, naudojančių ir kuriančių žemės ūkiui bei susijusioms sritims skirtas žinias. Atsižvelgiant į šį ES reglamentą SP pateikiama nacionalinė ŽŪŽIS ir skaitmeninės pertvarkos strategija, siekiant sektoriaus modernizavimo kaupiant žinias ir keičiantis jomis, diegiant inovacijas ir gerinant skaitmeninimą žemės ūkyje bei kaimo vietovėse, taip pat skatinant praktinį jų pritaikymą.</w:t>
      </w:r>
    </w:p>
    <w:p w14:paraId="35778347" w14:textId="77777777" w:rsidR="00A26D0C" w:rsidRPr="00A26D0C" w:rsidRDefault="00A26D0C" w:rsidP="00A26D0C">
      <w:pPr>
        <w:shd w:val="clear" w:color="auto" w:fill="FFFFFF"/>
        <w:tabs>
          <w:tab w:val="left" w:pos="993"/>
        </w:tabs>
        <w:spacing w:after="0"/>
        <w:ind w:firstLine="720"/>
        <w:jc w:val="both"/>
        <w:rPr>
          <w:rFonts w:ascii="Times New Roman" w:eastAsia="Calibri" w:hAnsi="Times New Roman" w:cs="Times New Roman"/>
          <w:sz w:val="24"/>
          <w:szCs w:val="24"/>
          <w:lang w:eastAsia="en-US"/>
        </w:rPr>
      </w:pPr>
      <w:r w:rsidRPr="00A26D0C">
        <w:rPr>
          <w:rFonts w:ascii="Times New Roman" w:eastAsia="Calibri" w:hAnsi="Times New Roman" w:cs="Times New Roman"/>
          <w:sz w:val="24"/>
          <w:szCs w:val="24"/>
          <w:lang w:eastAsia="en-US"/>
        </w:rPr>
        <w:t>SP numatytas Lietuvos ŽŪŽIS 2023–2027 m. tikslas – plėtoti koordinuotą ir įtraukią ŽŪŽIS dalyvių ekosistemą, kurioje žemės ūkio žinių ir inovacijų skatinimas, paieška, diegimas ir sklaida yra grįsti partneryste tarp skirtingų viešojo, privataus ir nevyriausybinio sektoriaus subjektų. Šiam tikslui įgyvendinti SP ypatingas dėmesys skiriamas fragmentuotų žinių srautų sujungimui į integruotą sistemą, kurioje kiekvienas dalyvis – nuo mokslininko iki ūkininko – yra žinių ir inovacijų sistemos dalimi. Integralia ir efektyvia ŽŪŽIS Lietuvoje laikoma tokia ekosistema, kurios veikimas yra grindžiamas koordinuotais, partneryste ir tinklaveika sukurtais žinių srautais tarp asmenų, organizacijų ir institucijų, kuriančių ir diegiančių žemės ūkiui ir susijusiems sektoriams skirtas žinias ir inovacijas, siekiant tvarumo pažangos ir konkurencingumo sektoriuje. Svarbiu ŽŪŽIS integralumo ir veiksmingumo stiprinimo instrumentu laikoma šiuo metu kuriama ŽŪŽIS skaitmeninė platforma, kuri suteiks galimybę vystyti tinklaveiką tarp šios sistemos dalyvių, užtikrins esminių su ŽŪŽIS susijusių e. paslaugų prieinamumą "vieno langelio" principu, atliepiant esminius poreikius dėl ŽŪŽIS paslaugų plėtros, užtikrins ir palengvins centralizuotą sistemos koordinavimą ir valdymą. Pažymėtina, kad skaitmeninė platforma startuos 2026 m. pavasarį.</w:t>
      </w:r>
    </w:p>
    <w:p w14:paraId="44F405F2" w14:textId="77777777" w:rsidR="00A26D0C" w:rsidRPr="00A26D0C" w:rsidRDefault="00A26D0C" w:rsidP="00A26D0C">
      <w:pPr>
        <w:shd w:val="clear" w:color="auto" w:fill="FFFFFF"/>
        <w:tabs>
          <w:tab w:val="left" w:pos="993"/>
        </w:tabs>
        <w:spacing w:after="0"/>
        <w:ind w:firstLine="720"/>
        <w:jc w:val="both"/>
        <w:rPr>
          <w:rFonts w:ascii="Times New Roman" w:eastAsia="Calibri" w:hAnsi="Times New Roman" w:cs="Times New Roman"/>
          <w:sz w:val="24"/>
          <w:szCs w:val="24"/>
          <w:lang w:eastAsia="en-US"/>
        </w:rPr>
      </w:pPr>
      <w:r w:rsidRPr="00A26D0C">
        <w:rPr>
          <w:rFonts w:ascii="Times New Roman" w:eastAsia="Calibri" w:hAnsi="Times New Roman" w:cs="Times New Roman"/>
          <w:sz w:val="24"/>
          <w:szCs w:val="24"/>
          <w:lang w:eastAsia="en-US"/>
        </w:rPr>
        <w:t xml:space="preserve">ŽŪŽIS dalyviai: švietimo ir mokslo institucijos, konsultacines paslaugas teikiantys vieši ir privatūs subjektai, ūkininkai, miškininkai, kitos su žemės ūkio veiklomis susijusios asocijuotos organizacijos, Europos inovacijų partnerystės veiklos grupės ir kitos mokslininkų, konsultantų, ūkininkų partneryste grįstos ir formalizuotos veiklos. Siekiant mažinti ŽŪŽIS fragmentaciją ir stiprinti sistemos integralumą, SP numatyta įsteigti kolegialų ŽŪŽIS koordinuojantį subjektą. Šis koordinuojantis subjektas apjungia pagrindinių sistemos dalyvių atstovus ir yra atsakingas už ŽŪŽIS politikos koordinavimą, veiklų stebėseną bei rekomendacijų teikimą dėl su ŽŪŽIS susijusių SP intervencinių priemonių įgyvendinimo. Lietuvos ŽŪŽIS koordinavimui svarbus ir Lietuvos kaimo tinklas (toliau – LKT), kuris prisideda prie ŽŪŽIS dalyvių aktyvinimo, jų įtraukimo į keitimosi žiniomis, inovacijų sklaidos ir bendradarbiavimo procesus. </w:t>
      </w:r>
    </w:p>
    <w:p w14:paraId="6094F5DF" w14:textId="77777777" w:rsidR="00A26D0C" w:rsidRPr="00A26D0C" w:rsidRDefault="00A26D0C" w:rsidP="00A26D0C">
      <w:pPr>
        <w:shd w:val="clear" w:color="auto" w:fill="FFFFFF"/>
        <w:tabs>
          <w:tab w:val="left" w:pos="993"/>
        </w:tabs>
        <w:spacing w:after="0"/>
        <w:ind w:firstLine="720"/>
        <w:jc w:val="both"/>
        <w:rPr>
          <w:rFonts w:ascii="Times New Roman" w:eastAsia="Calibri" w:hAnsi="Times New Roman" w:cs="Times New Roman"/>
          <w:sz w:val="24"/>
          <w:szCs w:val="24"/>
          <w:lang w:eastAsia="en-US"/>
        </w:rPr>
      </w:pPr>
      <w:r w:rsidRPr="00A26D0C">
        <w:rPr>
          <w:rFonts w:ascii="Times New Roman" w:eastAsia="Calibri" w:hAnsi="Times New Roman" w:cs="Times New Roman"/>
          <w:sz w:val="24"/>
          <w:szCs w:val="24"/>
          <w:lang w:eastAsia="en-US"/>
        </w:rPr>
        <w:t xml:space="preserve">ŽŪŽIS užima svarbų vaidmenį įgyvendinant SP kompleksinį tikslą (dar vadinamą horizontaliuoju / XCO) – modernizuoti žemės ūkį bei kaimo vietovėse puoselėjant žinias, inovacijas bei </w:t>
      </w:r>
      <w:proofErr w:type="spellStart"/>
      <w:r w:rsidRPr="00A26D0C">
        <w:rPr>
          <w:rFonts w:ascii="Times New Roman" w:eastAsia="Calibri" w:hAnsi="Times New Roman" w:cs="Times New Roman"/>
          <w:sz w:val="24"/>
          <w:szCs w:val="24"/>
          <w:lang w:eastAsia="en-US"/>
        </w:rPr>
        <w:t>skaitmenizacijos</w:t>
      </w:r>
      <w:proofErr w:type="spellEnd"/>
      <w:r w:rsidRPr="00A26D0C">
        <w:rPr>
          <w:rFonts w:ascii="Times New Roman" w:eastAsia="Calibri" w:hAnsi="Times New Roman" w:cs="Times New Roman"/>
          <w:sz w:val="24"/>
          <w:szCs w:val="24"/>
          <w:lang w:eastAsia="en-US"/>
        </w:rPr>
        <w:t xml:space="preserve"> galimybes ir dalijantis jomis žemės ūkyje bei kaimo vietovėse, ir skatinant ūkininkus jomis naudotis, sudarant geresnes galimybes naudotis moksliniais tyrimais, inovacijomis, žinių mainais ir mokymu. ŽŪŽIS sudaro prielaidas sėkmingesniam visų SP intervencinių priemonių įgyvendinimui, tačiau kai kurios iš jų yra specifiškai nukreiptos į ŽŪŽIS stiprinimą ir kompleksiniam tikslui suformuluotų poreikių tenkinimą. Su kompleksiniu tikslu yra susiję keturi poreikiai, o jų </w:t>
      </w:r>
      <w:r w:rsidRPr="00A26D0C">
        <w:rPr>
          <w:rFonts w:ascii="Times New Roman" w:eastAsia="Calibri" w:hAnsi="Times New Roman" w:cs="Times New Roman"/>
          <w:sz w:val="24"/>
          <w:szCs w:val="24"/>
          <w:lang w:eastAsia="en-US"/>
        </w:rPr>
        <w:lastRenderedPageBreak/>
        <w:t>patenkinimui SP nustatytas atitinkamas kaimo plėtros ir sektorinių intervencinių priemonių, numatytų pagal Reglamentą (ES) Nr. 2021/2115, derinys</w:t>
      </w:r>
      <w:r w:rsidRPr="00A26D0C">
        <w:rPr>
          <w:rFonts w:ascii="Arial" w:eastAsia="Calibri" w:hAnsi="Arial" w:cs="Arial"/>
          <w:sz w:val="20"/>
          <w:szCs w:val="22"/>
          <w:lang w:eastAsia="en-US"/>
        </w:rPr>
        <w:t>:</w:t>
      </w:r>
    </w:p>
    <w:p w14:paraId="4DA94780" w14:textId="77777777" w:rsidR="00A26D0C" w:rsidRPr="00A26D0C" w:rsidRDefault="00A26D0C" w:rsidP="00A26D0C">
      <w:pPr>
        <w:numPr>
          <w:ilvl w:val="3"/>
          <w:numId w:val="44"/>
        </w:numPr>
        <w:shd w:val="clear" w:color="auto" w:fill="FFFFFF"/>
        <w:tabs>
          <w:tab w:val="left" w:pos="993"/>
        </w:tabs>
        <w:spacing w:after="0"/>
        <w:ind w:left="0" w:firstLine="709"/>
        <w:contextualSpacing/>
        <w:jc w:val="both"/>
        <w:rPr>
          <w:rFonts w:ascii="Times New Roman" w:eastAsia="Calibri" w:hAnsi="Times New Roman" w:cs="Times New Roman"/>
          <w:sz w:val="24"/>
          <w:szCs w:val="28"/>
          <w:lang w:eastAsia="en-US"/>
        </w:rPr>
      </w:pPr>
      <w:r w:rsidRPr="00A26D0C">
        <w:rPr>
          <w:rFonts w:ascii="Times New Roman" w:eastAsia="Calibri" w:hAnsi="Times New Roman" w:cs="Times New Roman"/>
          <w:sz w:val="24"/>
          <w:szCs w:val="28"/>
          <w:lang w:eastAsia="en-US"/>
        </w:rPr>
        <w:t xml:space="preserve">poreikį </w:t>
      </w:r>
      <w:r w:rsidRPr="00A26D0C">
        <w:rPr>
          <w:rFonts w:ascii="Times New Roman" w:eastAsia="Calibri" w:hAnsi="Times New Roman" w:cs="Times New Roman"/>
          <w:b/>
          <w:bCs/>
          <w:i/>
          <w:iCs/>
          <w:sz w:val="24"/>
          <w:szCs w:val="28"/>
          <w:lang w:eastAsia="en-US"/>
        </w:rPr>
        <w:t xml:space="preserve">k.1 </w:t>
      </w:r>
      <w:r w:rsidRPr="00A26D0C">
        <w:rPr>
          <w:rFonts w:ascii="Times New Roman" w:eastAsia="Calibri" w:hAnsi="Times New Roman" w:cs="Times New Roman"/>
          <w:b/>
          <w:bCs/>
          <w:i/>
          <w:iCs/>
          <w:sz w:val="24"/>
          <w:szCs w:val="24"/>
          <w:lang w:eastAsia="en-US"/>
        </w:rPr>
        <w:t>–</w:t>
      </w:r>
      <w:r w:rsidRPr="00A26D0C">
        <w:rPr>
          <w:rFonts w:ascii="Times New Roman" w:eastAsia="Calibri" w:hAnsi="Times New Roman" w:cs="Times New Roman"/>
          <w:b/>
          <w:bCs/>
          <w:i/>
          <w:iCs/>
          <w:sz w:val="24"/>
          <w:szCs w:val="28"/>
          <w:lang w:eastAsia="en-US"/>
        </w:rPr>
        <w:t xml:space="preserve"> didinti žinių ir inovacijų sklaidą žemės ūkyje</w:t>
      </w:r>
      <w:r w:rsidRPr="00A26D0C">
        <w:rPr>
          <w:rFonts w:ascii="Times New Roman" w:eastAsia="Calibri" w:hAnsi="Times New Roman" w:cs="Times New Roman"/>
          <w:sz w:val="24"/>
          <w:szCs w:val="28"/>
          <w:lang w:eastAsia="en-US"/>
        </w:rPr>
        <w:t xml:space="preserve"> įgyvendina intervencinės priemonės „</w:t>
      </w:r>
      <w:r w:rsidRPr="00A26D0C">
        <w:rPr>
          <w:rFonts w:ascii="Times New Roman" w:eastAsia="Calibri" w:hAnsi="Times New Roman" w:cs="Times New Roman"/>
          <w:i/>
          <w:iCs/>
          <w:sz w:val="24"/>
          <w:szCs w:val="28"/>
          <w:lang w:eastAsia="en-US"/>
        </w:rPr>
        <w:t>KP22eip</w:t>
      </w:r>
      <w:r w:rsidRPr="00A26D0C">
        <w:rPr>
          <w:rFonts w:ascii="Times New Roman" w:eastAsia="Calibri" w:hAnsi="Times New Roman" w:cs="Times New Roman"/>
          <w:sz w:val="24"/>
          <w:szCs w:val="28"/>
          <w:lang w:eastAsia="en-US"/>
        </w:rPr>
        <w:t xml:space="preserve"> – Europos inovacijų partnerystė žemės ūkio našumo ir tvarumo srityje“, „</w:t>
      </w:r>
      <w:r w:rsidRPr="00A26D0C">
        <w:rPr>
          <w:rFonts w:ascii="Times New Roman" w:eastAsia="Calibri" w:hAnsi="Times New Roman" w:cs="Times New Roman"/>
          <w:i/>
          <w:iCs/>
          <w:sz w:val="24"/>
          <w:szCs w:val="28"/>
          <w:lang w:eastAsia="en-US"/>
        </w:rPr>
        <w:t xml:space="preserve">KP25kon </w:t>
      </w:r>
      <w:r w:rsidRPr="00A26D0C">
        <w:rPr>
          <w:rFonts w:ascii="Times New Roman" w:eastAsia="Calibri" w:hAnsi="Times New Roman" w:cs="Times New Roman"/>
          <w:sz w:val="24"/>
          <w:szCs w:val="28"/>
          <w:lang w:eastAsia="en-US"/>
        </w:rPr>
        <w:t>– Konsultavimo paslaugos“, „</w:t>
      </w:r>
      <w:r w:rsidRPr="00A26D0C">
        <w:rPr>
          <w:rFonts w:ascii="Times New Roman" w:eastAsia="Calibri" w:hAnsi="Times New Roman" w:cs="Times New Roman"/>
          <w:i/>
          <w:iCs/>
          <w:sz w:val="24"/>
          <w:szCs w:val="28"/>
          <w:lang w:eastAsia="en-US"/>
        </w:rPr>
        <w:t>KP24mįį</w:t>
      </w:r>
      <w:r w:rsidRPr="00A26D0C">
        <w:rPr>
          <w:rFonts w:ascii="Times New Roman" w:eastAsia="Calibri" w:hAnsi="Times New Roman" w:cs="Times New Roman"/>
          <w:b/>
          <w:bCs/>
          <w:sz w:val="24"/>
          <w:szCs w:val="28"/>
          <w:lang w:eastAsia="en-US"/>
        </w:rPr>
        <w:t xml:space="preserve"> </w:t>
      </w:r>
      <w:r w:rsidRPr="00A26D0C">
        <w:rPr>
          <w:rFonts w:ascii="Times New Roman" w:eastAsia="Calibri" w:hAnsi="Times New Roman" w:cs="Times New Roman"/>
          <w:sz w:val="24"/>
          <w:szCs w:val="28"/>
          <w:lang w:eastAsia="en-US"/>
        </w:rPr>
        <w:t>- Mokymai ir įgūdžių įgijimas“, „</w:t>
      </w:r>
      <w:r w:rsidRPr="00A26D0C">
        <w:rPr>
          <w:rFonts w:ascii="Times New Roman" w:eastAsia="Calibri" w:hAnsi="Times New Roman" w:cs="Times New Roman"/>
          <w:i/>
          <w:iCs/>
          <w:sz w:val="24"/>
          <w:szCs w:val="28"/>
          <w:lang w:eastAsia="en-US"/>
        </w:rPr>
        <w:t xml:space="preserve">KP23ppi </w:t>
      </w:r>
      <w:r w:rsidRPr="00A26D0C">
        <w:rPr>
          <w:rFonts w:ascii="Times New Roman" w:eastAsia="Calibri" w:hAnsi="Times New Roman" w:cs="Times New Roman"/>
          <w:sz w:val="24"/>
          <w:szCs w:val="28"/>
          <w:lang w:eastAsia="en-US"/>
        </w:rPr>
        <w:t>– Parodomieji projektai ir informavimo veikla“ ir sektorinės intervencinės priemonės „</w:t>
      </w:r>
      <w:r w:rsidRPr="00A26D0C">
        <w:rPr>
          <w:rFonts w:ascii="Times New Roman" w:eastAsia="Calibri" w:hAnsi="Times New Roman" w:cs="Times New Roman"/>
          <w:i/>
          <w:iCs/>
          <w:sz w:val="24"/>
          <w:szCs w:val="28"/>
          <w:lang w:eastAsia="en-US"/>
        </w:rPr>
        <w:t>SP03med1</w:t>
      </w:r>
      <w:r w:rsidRPr="00A26D0C">
        <w:rPr>
          <w:rFonts w:ascii="Times New Roman" w:eastAsia="Calibri" w:hAnsi="Times New Roman" w:cs="Times New Roman"/>
          <w:sz w:val="24"/>
          <w:szCs w:val="28"/>
          <w:lang w:eastAsia="en-US"/>
        </w:rPr>
        <w:t xml:space="preserve"> – Švietimas, mokymas ir techninė parama“, „</w:t>
      </w:r>
      <w:r w:rsidRPr="00A26D0C">
        <w:rPr>
          <w:rFonts w:ascii="Times New Roman" w:eastAsia="Calibri" w:hAnsi="Times New Roman" w:cs="Times New Roman"/>
          <w:i/>
          <w:iCs/>
          <w:sz w:val="24"/>
          <w:szCs w:val="28"/>
          <w:lang w:eastAsia="en-US"/>
        </w:rPr>
        <w:t xml:space="preserve">SP03med4 </w:t>
      </w:r>
      <w:r w:rsidRPr="00A26D0C">
        <w:rPr>
          <w:rFonts w:ascii="Times New Roman" w:eastAsia="Calibri" w:hAnsi="Times New Roman" w:cs="Times New Roman"/>
          <w:sz w:val="24"/>
          <w:szCs w:val="28"/>
          <w:lang w:eastAsia="en-US"/>
        </w:rPr>
        <w:t>– Moksliniai tyrimai bitininkystės sektoriuje“ bei sektorinė intervencinė priemonė „</w:t>
      </w:r>
      <w:r w:rsidRPr="00A26D0C">
        <w:rPr>
          <w:rFonts w:ascii="Times New Roman" w:eastAsia="Calibri" w:hAnsi="Times New Roman" w:cs="Times New Roman"/>
          <w:i/>
          <w:iCs/>
          <w:sz w:val="24"/>
          <w:szCs w:val="28"/>
          <w:lang w:eastAsia="en-US"/>
        </w:rPr>
        <w:t>SP01vid1</w:t>
      </w:r>
      <w:r w:rsidRPr="00A26D0C">
        <w:rPr>
          <w:rFonts w:ascii="Times New Roman" w:eastAsia="Calibri" w:hAnsi="Times New Roman" w:cs="Times New Roman"/>
          <w:sz w:val="24"/>
          <w:szCs w:val="28"/>
          <w:lang w:eastAsia="en-US"/>
        </w:rPr>
        <w:t xml:space="preserve"> – Investicijos į ilgalaikį turtą, tyrimus, eksperimentinę ir inovatyvią gamybą ir kitus veiksmus“;</w:t>
      </w:r>
    </w:p>
    <w:p w14:paraId="7228CB05" w14:textId="77777777" w:rsidR="00A26D0C" w:rsidRPr="00A26D0C" w:rsidRDefault="00A26D0C" w:rsidP="00A26D0C">
      <w:pPr>
        <w:numPr>
          <w:ilvl w:val="3"/>
          <w:numId w:val="44"/>
        </w:numPr>
        <w:shd w:val="clear" w:color="auto" w:fill="FFFFFF"/>
        <w:tabs>
          <w:tab w:val="left" w:pos="993"/>
        </w:tabs>
        <w:spacing w:after="0"/>
        <w:ind w:left="0" w:firstLine="709"/>
        <w:contextualSpacing/>
        <w:jc w:val="both"/>
        <w:rPr>
          <w:rFonts w:ascii="Times New Roman" w:eastAsia="Calibri" w:hAnsi="Times New Roman" w:cs="Times New Roman"/>
          <w:sz w:val="24"/>
          <w:szCs w:val="28"/>
          <w:lang w:eastAsia="en-US"/>
        </w:rPr>
      </w:pPr>
      <w:r w:rsidRPr="00A26D0C">
        <w:rPr>
          <w:rFonts w:ascii="Times New Roman" w:eastAsia="Calibri" w:hAnsi="Times New Roman" w:cs="Times New Roman"/>
          <w:sz w:val="24"/>
          <w:szCs w:val="28"/>
          <w:lang w:eastAsia="en-US"/>
        </w:rPr>
        <w:t xml:space="preserve">poreikį </w:t>
      </w:r>
      <w:r w:rsidRPr="00A26D0C">
        <w:rPr>
          <w:rFonts w:ascii="Times New Roman" w:eastAsia="Calibri" w:hAnsi="Times New Roman" w:cs="Times New Roman"/>
          <w:b/>
          <w:bCs/>
          <w:i/>
          <w:iCs/>
          <w:sz w:val="24"/>
          <w:szCs w:val="28"/>
          <w:lang w:eastAsia="en-US"/>
        </w:rPr>
        <w:t xml:space="preserve">k.2 </w:t>
      </w:r>
      <w:r w:rsidRPr="00A26D0C">
        <w:rPr>
          <w:rFonts w:ascii="Times New Roman" w:eastAsia="Calibri" w:hAnsi="Times New Roman" w:cs="Times New Roman"/>
          <w:b/>
          <w:bCs/>
          <w:i/>
          <w:iCs/>
          <w:sz w:val="24"/>
          <w:szCs w:val="24"/>
          <w:lang w:eastAsia="en-US"/>
        </w:rPr>
        <w:t>–</w:t>
      </w:r>
      <w:r w:rsidRPr="00A26D0C">
        <w:rPr>
          <w:rFonts w:ascii="Times New Roman" w:eastAsia="Calibri" w:hAnsi="Times New Roman" w:cs="Times New Roman"/>
          <w:b/>
          <w:bCs/>
          <w:i/>
          <w:iCs/>
          <w:sz w:val="24"/>
          <w:szCs w:val="28"/>
          <w:lang w:eastAsia="en-US"/>
        </w:rPr>
        <w:t xml:space="preserve"> didinti konsultavimo paslaugų formų įvairovę bei geriau užtikrinti jų atitikimą ūkininkų poreikiams </w:t>
      </w:r>
      <w:r w:rsidRPr="00A26D0C">
        <w:rPr>
          <w:rFonts w:ascii="Times New Roman" w:eastAsia="Calibri" w:hAnsi="Times New Roman" w:cs="Times New Roman"/>
          <w:sz w:val="24"/>
          <w:szCs w:val="28"/>
          <w:lang w:eastAsia="en-US"/>
        </w:rPr>
        <w:t>įgyvendina intervencinė priemonė „</w:t>
      </w:r>
      <w:r w:rsidRPr="00A26D0C">
        <w:rPr>
          <w:rFonts w:ascii="Times New Roman" w:eastAsia="Calibri" w:hAnsi="Times New Roman" w:cs="Times New Roman"/>
          <w:i/>
          <w:iCs/>
          <w:sz w:val="24"/>
          <w:szCs w:val="28"/>
          <w:lang w:eastAsia="en-US"/>
        </w:rPr>
        <w:t xml:space="preserve">KP25kon </w:t>
      </w:r>
      <w:r w:rsidRPr="00A26D0C">
        <w:rPr>
          <w:rFonts w:ascii="Times New Roman" w:eastAsia="Calibri" w:hAnsi="Times New Roman" w:cs="Times New Roman"/>
          <w:sz w:val="24"/>
          <w:szCs w:val="28"/>
          <w:lang w:eastAsia="en-US"/>
        </w:rPr>
        <w:t>– Konsultavimo paslaugos“;</w:t>
      </w:r>
    </w:p>
    <w:p w14:paraId="220170A2" w14:textId="77777777" w:rsidR="00A26D0C" w:rsidRPr="00A26D0C" w:rsidRDefault="00A26D0C" w:rsidP="00A26D0C">
      <w:pPr>
        <w:numPr>
          <w:ilvl w:val="3"/>
          <w:numId w:val="44"/>
        </w:numPr>
        <w:shd w:val="clear" w:color="auto" w:fill="FFFFFF"/>
        <w:tabs>
          <w:tab w:val="left" w:pos="993"/>
        </w:tabs>
        <w:spacing w:after="0"/>
        <w:ind w:left="0" w:firstLine="709"/>
        <w:contextualSpacing/>
        <w:jc w:val="both"/>
        <w:rPr>
          <w:rFonts w:ascii="Times New Roman" w:eastAsia="Calibri" w:hAnsi="Times New Roman" w:cs="Times New Roman"/>
          <w:sz w:val="24"/>
          <w:szCs w:val="28"/>
          <w:lang w:eastAsia="en-US"/>
        </w:rPr>
      </w:pPr>
      <w:r w:rsidRPr="00A26D0C">
        <w:rPr>
          <w:rFonts w:ascii="Times New Roman" w:eastAsia="Calibri" w:hAnsi="Times New Roman" w:cs="Times New Roman"/>
          <w:sz w:val="24"/>
          <w:szCs w:val="28"/>
          <w:lang w:eastAsia="en-US"/>
        </w:rPr>
        <w:t xml:space="preserve">poreikio </w:t>
      </w:r>
      <w:r w:rsidRPr="00A26D0C">
        <w:rPr>
          <w:rFonts w:ascii="Times New Roman" w:eastAsia="Calibri" w:hAnsi="Times New Roman" w:cs="Times New Roman"/>
          <w:b/>
          <w:bCs/>
          <w:i/>
          <w:iCs/>
          <w:sz w:val="24"/>
          <w:szCs w:val="28"/>
          <w:lang w:eastAsia="en-US"/>
        </w:rPr>
        <w:t xml:space="preserve">k.3 </w:t>
      </w:r>
      <w:r w:rsidRPr="00A26D0C">
        <w:rPr>
          <w:rFonts w:ascii="Times New Roman" w:eastAsia="Calibri" w:hAnsi="Times New Roman" w:cs="Times New Roman"/>
          <w:b/>
          <w:bCs/>
          <w:i/>
          <w:iCs/>
          <w:sz w:val="24"/>
          <w:szCs w:val="24"/>
          <w:lang w:eastAsia="en-US"/>
        </w:rPr>
        <w:t>–</w:t>
      </w:r>
      <w:r w:rsidRPr="00A26D0C">
        <w:rPr>
          <w:rFonts w:ascii="Times New Roman" w:eastAsia="Calibri" w:hAnsi="Times New Roman" w:cs="Times New Roman"/>
          <w:b/>
          <w:bCs/>
          <w:i/>
          <w:iCs/>
          <w:sz w:val="24"/>
          <w:szCs w:val="28"/>
          <w:lang w:eastAsia="en-US"/>
        </w:rPr>
        <w:t xml:space="preserve"> užtikrinti aukštą konsultantų kompetenciją ir jų teikiamų konsultacijų kokybę</w:t>
      </w:r>
      <w:r w:rsidRPr="00A26D0C">
        <w:rPr>
          <w:rFonts w:ascii="Times New Roman" w:eastAsia="Calibri" w:hAnsi="Times New Roman" w:cs="Times New Roman"/>
          <w:sz w:val="24"/>
          <w:szCs w:val="28"/>
          <w:lang w:eastAsia="en-US"/>
        </w:rPr>
        <w:t xml:space="preserve"> įgyvendinimui numatytos intervencinės priemonės „</w:t>
      </w:r>
      <w:r w:rsidRPr="00A26D0C">
        <w:rPr>
          <w:rFonts w:ascii="Times New Roman" w:eastAsia="Calibri" w:hAnsi="Times New Roman" w:cs="Times New Roman"/>
          <w:i/>
          <w:iCs/>
          <w:sz w:val="24"/>
          <w:szCs w:val="28"/>
          <w:lang w:eastAsia="en-US"/>
        </w:rPr>
        <w:t>KP22eip</w:t>
      </w:r>
      <w:r w:rsidRPr="00A26D0C">
        <w:rPr>
          <w:rFonts w:ascii="Times New Roman" w:eastAsia="Calibri" w:hAnsi="Times New Roman" w:cs="Times New Roman"/>
          <w:sz w:val="24"/>
          <w:szCs w:val="28"/>
          <w:lang w:eastAsia="en-US"/>
        </w:rPr>
        <w:t xml:space="preserve"> – Europos inovacijų partnerystė žemės ūkio našumo ir tvarumo srityje“, „</w:t>
      </w:r>
      <w:r w:rsidRPr="00A26D0C">
        <w:rPr>
          <w:rFonts w:ascii="Times New Roman" w:eastAsia="Calibri" w:hAnsi="Times New Roman" w:cs="Times New Roman"/>
          <w:i/>
          <w:iCs/>
          <w:sz w:val="24"/>
          <w:szCs w:val="28"/>
          <w:lang w:eastAsia="en-US"/>
        </w:rPr>
        <w:t xml:space="preserve">KP25kon </w:t>
      </w:r>
      <w:r w:rsidRPr="00A26D0C">
        <w:rPr>
          <w:rFonts w:ascii="Times New Roman" w:eastAsia="Calibri" w:hAnsi="Times New Roman" w:cs="Times New Roman"/>
          <w:sz w:val="24"/>
          <w:szCs w:val="28"/>
          <w:lang w:eastAsia="en-US"/>
        </w:rPr>
        <w:t>– Konsultavimo paslaugos“, „</w:t>
      </w:r>
      <w:r w:rsidRPr="00A26D0C">
        <w:rPr>
          <w:rFonts w:ascii="Times New Roman" w:eastAsia="Calibri" w:hAnsi="Times New Roman" w:cs="Times New Roman"/>
          <w:i/>
          <w:iCs/>
          <w:sz w:val="24"/>
          <w:szCs w:val="28"/>
          <w:lang w:eastAsia="en-US"/>
        </w:rPr>
        <w:t>KP24mįį</w:t>
      </w:r>
      <w:r w:rsidRPr="00A26D0C">
        <w:rPr>
          <w:rFonts w:ascii="Times New Roman" w:eastAsia="Calibri" w:hAnsi="Times New Roman" w:cs="Times New Roman"/>
          <w:b/>
          <w:bCs/>
          <w:sz w:val="24"/>
          <w:szCs w:val="28"/>
          <w:lang w:eastAsia="en-US"/>
        </w:rPr>
        <w:t xml:space="preserve"> </w:t>
      </w:r>
      <w:r w:rsidRPr="00A26D0C">
        <w:rPr>
          <w:rFonts w:ascii="Times New Roman" w:eastAsia="Calibri" w:hAnsi="Times New Roman" w:cs="Times New Roman"/>
          <w:sz w:val="24"/>
          <w:szCs w:val="28"/>
          <w:lang w:eastAsia="en-US"/>
        </w:rPr>
        <w:t>- Mokymai ir įgūdžių įgijimas“, „</w:t>
      </w:r>
      <w:r w:rsidRPr="00A26D0C">
        <w:rPr>
          <w:rFonts w:ascii="Times New Roman" w:eastAsia="Calibri" w:hAnsi="Times New Roman" w:cs="Times New Roman"/>
          <w:i/>
          <w:iCs/>
          <w:sz w:val="24"/>
          <w:szCs w:val="28"/>
          <w:lang w:eastAsia="en-US"/>
        </w:rPr>
        <w:t xml:space="preserve">KP23ppi </w:t>
      </w:r>
      <w:r w:rsidRPr="00A26D0C">
        <w:rPr>
          <w:rFonts w:ascii="Times New Roman" w:eastAsia="Calibri" w:hAnsi="Times New Roman" w:cs="Times New Roman"/>
          <w:sz w:val="24"/>
          <w:szCs w:val="28"/>
          <w:lang w:eastAsia="en-US"/>
        </w:rPr>
        <w:t>– Parodomieji projektai ir informavimo veikla“;</w:t>
      </w:r>
    </w:p>
    <w:p w14:paraId="2C4ACD65" w14:textId="77777777" w:rsidR="00A26D0C" w:rsidRPr="00A26D0C" w:rsidRDefault="00A26D0C" w:rsidP="00A26D0C">
      <w:pPr>
        <w:numPr>
          <w:ilvl w:val="3"/>
          <w:numId w:val="44"/>
        </w:numPr>
        <w:shd w:val="clear" w:color="auto" w:fill="FFFFFF"/>
        <w:tabs>
          <w:tab w:val="left" w:pos="993"/>
        </w:tabs>
        <w:spacing w:after="0"/>
        <w:ind w:left="0" w:firstLine="709"/>
        <w:contextualSpacing/>
        <w:jc w:val="both"/>
        <w:rPr>
          <w:rFonts w:ascii="Times New Roman" w:eastAsia="Calibri" w:hAnsi="Times New Roman" w:cs="Times New Roman"/>
          <w:sz w:val="24"/>
          <w:szCs w:val="28"/>
          <w:lang w:eastAsia="en-US"/>
        </w:rPr>
      </w:pPr>
      <w:r w:rsidRPr="00A26D0C">
        <w:rPr>
          <w:rFonts w:ascii="Times New Roman" w:eastAsia="Calibri" w:hAnsi="Times New Roman" w:cs="Times New Roman"/>
          <w:sz w:val="24"/>
          <w:szCs w:val="28"/>
          <w:lang w:eastAsia="en-US"/>
        </w:rPr>
        <w:t xml:space="preserve">poreikį </w:t>
      </w:r>
      <w:r w:rsidRPr="00A26D0C">
        <w:rPr>
          <w:rFonts w:ascii="Times New Roman" w:eastAsia="Calibri" w:hAnsi="Times New Roman" w:cs="Times New Roman"/>
          <w:b/>
          <w:bCs/>
          <w:i/>
          <w:iCs/>
          <w:sz w:val="24"/>
          <w:szCs w:val="28"/>
          <w:lang w:eastAsia="en-US"/>
        </w:rPr>
        <w:t xml:space="preserve">k.4 </w:t>
      </w:r>
      <w:r w:rsidRPr="00A26D0C">
        <w:rPr>
          <w:rFonts w:ascii="Times New Roman" w:eastAsia="Calibri" w:hAnsi="Times New Roman" w:cs="Times New Roman"/>
          <w:b/>
          <w:bCs/>
          <w:i/>
          <w:iCs/>
          <w:sz w:val="24"/>
          <w:szCs w:val="24"/>
          <w:lang w:eastAsia="en-US"/>
        </w:rPr>
        <w:t>–</w:t>
      </w:r>
      <w:r w:rsidRPr="00A26D0C">
        <w:rPr>
          <w:rFonts w:ascii="Times New Roman" w:eastAsia="Calibri" w:hAnsi="Times New Roman" w:cs="Times New Roman"/>
          <w:b/>
          <w:bCs/>
          <w:i/>
          <w:iCs/>
          <w:sz w:val="24"/>
          <w:szCs w:val="28"/>
          <w:lang w:eastAsia="en-US"/>
        </w:rPr>
        <w:t xml:space="preserve"> mažinti skaitmeninę atskirtį žemės ūkyje ir kaimo vietovėse </w:t>
      </w:r>
      <w:r w:rsidRPr="00A26D0C">
        <w:rPr>
          <w:rFonts w:ascii="Times New Roman" w:eastAsia="Calibri" w:hAnsi="Times New Roman" w:cs="Times New Roman"/>
          <w:sz w:val="24"/>
          <w:szCs w:val="28"/>
          <w:lang w:eastAsia="en-US"/>
        </w:rPr>
        <w:t>įgyvendina intervencinės priemonės „</w:t>
      </w:r>
      <w:r w:rsidRPr="00A26D0C">
        <w:rPr>
          <w:rFonts w:ascii="Times New Roman" w:eastAsia="Calibri" w:hAnsi="Times New Roman" w:cs="Times New Roman"/>
          <w:i/>
          <w:iCs/>
          <w:sz w:val="24"/>
          <w:szCs w:val="28"/>
          <w:lang w:eastAsia="en-US"/>
        </w:rPr>
        <w:t>KP22eip</w:t>
      </w:r>
      <w:r w:rsidRPr="00A26D0C">
        <w:rPr>
          <w:rFonts w:ascii="Times New Roman" w:eastAsia="Calibri" w:hAnsi="Times New Roman" w:cs="Times New Roman"/>
          <w:sz w:val="24"/>
          <w:szCs w:val="28"/>
          <w:lang w:eastAsia="en-US"/>
        </w:rPr>
        <w:t xml:space="preserve"> – Europos inovacijų partnerystė žemės ūkio našumo ir tvarumo srityje“, „</w:t>
      </w:r>
      <w:r w:rsidRPr="00A26D0C">
        <w:rPr>
          <w:rFonts w:ascii="Times New Roman" w:eastAsia="Calibri" w:hAnsi="Times New Roman" w:cs="Times New Roman"/>
          <w:i/>
          <w:iCs/>
          <w:sz w:val="24"/>
          <w:szCs w:val="28"/>
          <w:lang w:eastAsia="en-US"/>
        </w:rPr>
        <w:t>KP20vvg</w:t>
      </w:r>
      <w:r w:rsidRPr="00A26D0C">
        <w:rPr>
          <w:rFonts w:ascii="Times New Roman" w:eastAsia="Calibri" w:hAnsi="Times New Roman" w:cs="Times New Roman"/>
          <w:sz w:val="24"/>
          <w:szCs w:val="28"/>
          <w:lang w:eastAsia="en-US"/>
        </w:rPr>
        <w:t xml:space="preserve"> – Bendruomenių inicijuota vietos plėtra (LEADER)“,  „</w:t>
      </w:r>
      <w:r w:rsidRPr="00A26D0C">
        <w:rPr>
          <w:rFonts w:ascii="Times New Roman" w:eastAsia="Calibri" w:hAnsi="Times New Roman" w:cs="Times New Roman"/>
          <w:i/>
          <w:iCs/>
          <w:sz w:val="24"/>
          <w:szCs w:val="28"/>
          <w:lang w:eastAsia="en-US"/>
        </w:rPr>
        <w:t>KP21sum</w:t>
      </w:r>
      <w:r w:rsidRPr="00A26D0C">
        <w:rPr>
          <w:rFonts w:ascii="Times New Roman" w:eastAsia="Calibri" w:hAnsi="Times New Roman" w:cs="Times New Roman"/>
          <w:sz w:val="24"/>
          <w:szCs w:val="28"/>
          <w:lang w:eastAsia="en-US"/>
        </w:rPr>
        <w:t xml:space="preserve"> – Sumanieji kaimai“,</w:t>
      </w:r>
      <w:r w:rsidRPr="00A26D0C">
        <w:rPr>
          <w:rFonts w:ascii="Times New Roman" w:eastAsia="Calibri" w:hAnsi="Times New Roman" w:cs="Times New Roman"/>
          <w:i/>
          <w:iCs/>
          <w:sz w:val="24"/>
          <w:szCs w:val="28"/>
          <w:lang w:eastAsia="en-US"/>
        </w:rPr>
        <w:t xml:space="preserve"> „KP25kon</w:t>
      </w:r>
      <w:r w:rsidRPr="00A26D0C">
        <w:rPr>
          <w:rFonts w:ascii="Times New Roman" w:eastAsia="Calibri" w:hAnsi="Times New Roman" w:cs="Times New Roman"/>
          <w:sz w:val="24"/>
          <w:szCs w:val="28"/>
          <w:lang w:eastAsia="en-US"/>
        </w:rPr>
        <w:t xml:space="preserve"> – Konsultavimo paslaugos“, „</w:t>
      </w:r>
      <w:r w:rsidRPr="00A26D0C">
        <w:rPr>
          <w:rFonts w:ascii="Times New Roman" w:eastAsia="Calibri" w:hAnsi="Times New Roman" w:cs="Times New Roman"/>
          <w:i/>
          <w:iCs/>
          <w:sz w:val="24"/>
          <w:szCs w:val="28"/>
          <w:lang w:eastAsia="en-US"/>
        </w:rPr>
        <w:t xml:space="preserve">KP24mįį </w:t>
      </w:r>
      <w:r w:rsidRPr="00A26D0C">
        <w:rPr>
          <w:rFonts w:ascii="Times New Roman" w:eastAsia="Calibri" w:hAnsi="Times New Roman" w:cs="Times New Roman"/>
          <w:sz w:val="24"/>
          <w:szCs w:val="28"/>
          <w:lang w:eastAsia="en-US"/>
        </w:rPr>
        <w:t>– Mokymai ir įgūdžių įgijimas“, „</w:t>
      </w:r>
      <w:r w:rsidRPr="00A26D0C">
        <w:rPr>
          <w:rFonts w:ascii="Times New Roman" w:eastAsia="Calibri" w:hAnsi="Times New Roman" w:cs="Times New Roman"/>
          <w:i/>
          <w:iCs/>
          <w:sz w:val="24"/>
          <w:szCs w:val="28"/>
          <w:lang w:eastAsia="en-US"/>
        </w:rPr>
        <w:t xml:space="preserve">KP23ppi </w:t>
      </w:r>
      <w:r w:rsidRPr="00A26D0C">
        <w:rPr>
          <w:rFonts w:ascii="Times New Roman" w:eastAsia="Calibri" w:hAnsi="Times New Roman" w:cs="Times New Roman"/>
          <w:sz w:val="24"/>
          <w:szCs w:val="28"/>
          <w:lang w:eastAsia="en-US"/>
        </w:rPr>
        <w:t>– Parodomieji projektai ir informavimo veikla“ bei sektorinė intervencinė priemonė „</w:t>
      </w:r>
      <w:r w:rsidRPr="00A26D0C">
        <w:rPr>
          <w:rFonts w:ascii="Times New Roman" w:eastAsia="Calibri" w:hAnsi="Times New Roman" w:cs="Times New Roman"/>
          <w:i/>
          <w:iCs/>
          <w:sz w:val="24"/>
          <w:szCs w:val="28"/>
          <w:lang w:eastAsia="en-US"/>
        </w:rPr>
        <w:t>SP01vid1</w:t>
      </w:r>
      <w:r w:rsidRPr="00A26D0C">
        <w:rPr>
          <w:rFonts w:ascii="Times New Roman" w:eastAsia="Calibri" w:hAnsi="Times New Roman" w:cs="Times New Roman"/>
          <w:sz w:val="24"/>
          <w:szCs w:val="28"/>
          <w:lang w:eastAsia="en-US"/>
        </w:rPr>
        <w:t xml:space="preserve"> – Investicijos į ilgalaikį turtą, tyrimus, eksperimentinę ir inovatyvią gamybą ir kitus veiksmus“. Taip pat prie šio poreikio įgyvendinimo prisideda SO2 konkrečiojo tikslo intervencinės priemones „</w:t>
      </w:r>
      <w:r w:rsidRPr="00A26D0C">
        <w:rPr>
          <w:rFonts w:ascii="Times New Roman" w:eastAsia="Calibri" w:hAnsi="Times New Roman" w:cs="Times New Roman"/>
          <w:i/>
          <w:iCs/>
          <w:sz w:val="24"/>
          <w:szCs w:val="28"/>
          <w:lang w:eastAsia="en-US"/>
        </w:rPr>
        <w:t xml:space="preserve">KP12vld </w:t>
      </w:r>
      <w:r w:rsidRPr="00A26D0C">
        <w:rPr>
          <w:rFonts w:ascii="Times New Roman" w:eastAsia="Calibri" w:hAnsi="Times New Roman" w:cs="Times New Roman"/>
          <w:sz w:val="24"/>
          <w:szCs w:val="28"/>
          <w:lang w:eastAsia="en-US"/>
        </w:rPr>
        <w:t>– Investicijos į žemės ūkio valdas”,  „KP19sūp – „Labai smulkių ūkių plėtra“, „KP31tvi – Tvarios investicijos į žemės ūkio valdas”, „KP32svp – Smulkių-vidutinių ūkių plėtra”. Kartu šios XCO ir SO2 tikslų siekiančios intervencinės priemonės sudaro palankią aplinką naujų technologijų diegimui ir skaitmenizavimo plėtrai žemės ūkyje.</w:t>
      </w:r>
    </w:p>
    <w:p w14:paraId="4CB66DAA" w14:textId="77777777" w:rsidR="00A26D0C" w:rsidRPr="00A26D0C" w:rsidRDefault="00A26D0C" w:rsidP="00A26D0C">
      <w:pPr>
        <w:tabs>
          <w:tab w:val="left" w:pos="993"/>
          <w:tab w:val="left" w:pos="1429"/>
        </w:tabs>
        <w:spacing w:after="0"/>
        <w:jc w:val="center"/>
        <w:rPr>
          <w:rFonts w:ascii="Times New Roman" w:eastAsia="Calibri" w:hAnsi="Times New Roman" w:cs="Times New Roman"/>
          <w:b/>
          <w:bCs/>
          <w:sz w:val="24"/>
          <w:szCs w:val="24"/>
          <w:lang w:eastAsia="en-US"/>
        </w:rPr>
      </w:pPr>
    </w:p>
    <w:p w14:paraId="0D99E1A9" w14:textId="77777777" w:rsidR="00A26D0C" w:rsidRPr="00A26D0C" w:rsidRDefault="00A26D0C" w:rsidP="00A26D0C">
      <w:pPr>
        <w:tabs>
          <w:tab w:val="left" w:pos="993"/>
          <w:tab w:val="left" w:pos="1429"/>
        </w:tabs>
        <w:spacing w:after="0"/>
        <w:jc w:val="center"/>
        <w:rPr>
          <w:rFonts w:ascii="Times New Roman" w:eastAsia="Times New Roman" w:hAnsi="Times New Roman" w:cs="Times New Roman"/>
          <w:b/>
          <w:bCs/>
          <w:sz w:val="24"/>
          <w:szCs w:val="24"/>
          <w:lang w:eastAsia="en-US"/>
        </w:rPr>
      </w:pPr>
      <w:r w:rsidRPr="00A26D0C">
        <w:rPr>
          <w:rFonts w:ascii="Times New Roman" w:eastAsia="Times New Roman" w:hAnsi="Times New Roman" w:cs="Times New Roman"/>
          <w:b/>
          <w:bCs/>
          <w:sz w:val="24"/>
          <w:szCs w:val="24"/>
          <w:lang w:eastAsia="en-US"/>
        </w:rPr>
        <w:t>III. VERTINIMO TIKSLAS, APIMTIS IR UŽDAVINIAI</w:t>
      </w:r>
    </w:p>
    <w:p w14:paraId="6372CE22" w14:textId="77777777" w:rsidR="00A26D0C" w:rsidRPr="00A26D0C" w:rsidRDefault="00A26D0C" w:rsidP="00A26D0C">
      <w:pPr>
        <w:numPr>
          <w:ilvl w:val="0"/>
          <w:numId w:val="43"/>
        </w:numPr>
        <w:tabs>
          <w:tab w:val="left" w:pos="993"/>
        </w:tabs>
        <w:spacing w:after="0"/>
        <w:ind w:left="0" w:firstLine="709"/>
        <w:contextualSpacing/>
        <w:jc w:val="both"/>
        <w:rPr>
          <w:rFonts w:ascii="Times New Roman" w:eastAsia="Calibri" w:hAnsi="Times New Roman" w:cs="Times New Roman"/>
          <w:sz w:val="24"/>
          <w:szCs w:val="24"/>
          <w:lang w:eastAsia="en-US"/>
        </w:rPr>
      </w:pPr>
      <w:r w:rsidRPr="00A26D0C">
        <w:rPr>
          <w:rFonts w:ascii="Times New Roman" w:eastAsia="Calibri" w:hAnsi="Times New Roman" w:cs="Times New Roman"/>
          <w:b/>
          <w:bCs/>
          <w:sz w:val="24"/>
          <w:szCs w:val="24"/>
          <w:lang w:eastAsia="en-US"/>
        </w:rPr>
        <w:t xml:space="preserve">Vertinimo tikslas </w:t>
      </w:r>
      <w:r w:rsidRPr="00A26D0C">
        <w:rPr>
          <w:rFonts w:ascii="Times New Roman" w:eastAsia="Calibri" w:hAnsi="Times New Roman" w:cs="Times New Roman"/>
          <w:sz w:val="24"/>
          <w:szCs w:val="28"/>
          <w:lang w:eastAsia="en-US"/>
        </w:rPr>
        <w:t>–</w:t>
      </w:r>
      <w:r w:rsidRPr="00A26D0C">
        <w:rPr>
          <w:rFonts w:ascii="Times New Roman" w:eastAsia="Calibri" w:hAnsi="Times New Roman" w:cs="Times New Roman"/>
          <w:b/>
          <w:bCs/>
          <w:sz w:val="24"/>
          <w:szCs w:val="24"/>
          <w:lang w:eastAsia="en-US"/>
        </w:rPr>
        <w:t xml:space="preserve"> </w:t>
      </w:r>
      <w:r w:rsidRPr="00A26D0C">
        <w:rPr>
          <w:rFonts w:ascii="Times New Roman" w:eastAsia="Calibri" w:hAnsi="Times New Roman" w:cs="Times New Roman"/>
          <w:sz w:val="24"/>
          <w:szCs w:val="24"/>
          <w:lang w:eastAsia="en-US"/>
        </w:rPr>
        <w:t xml:space="preserve">įvertinti ŽŪŽIS ir SP intervencinių priemonių indėlį į BŽŪP kompleksinio tikslo įgyvendinimą, ypatingą dėmesį skiriant žemės ūkio ir kaimo vietovių modernizavimui, ŽŪŽIS integralumui ir veiksmingumui, bei skaitmenizavimo srities pasiekimams. </w:t>
      </w:r>
    </w:p>
    <w:p w14:paraId="465AE1F7" w14:textId="77777777" w:rsidR="00A26D0C" w:rsidRPr="00A26D0C" w:rsidRDefault="00A26D0C" w:rsidP="00A26D0C">
      <w:pPr>
        <w:numPr>
          <w:ilvl w:val="0"/>
          <w:numId w:val="43"/>
        </w:numPr>
        <w:tabs>
          <w:tab w:val="left" w:pos="993"/>
        </w:tabs>
        <w:spacing w:after="0"/>
        <w:ind w:left="0" w:firstLine="709"/>
        <w:contextualSpacing/>
        <w:jc w:val="both"/>
        <w:rPr>
          <w:rFonts w:ascii="Times New Roman" w:eastAsia="Calibri" w:hAnsi="Times New Roman" w:cs="Times New Roman"/>
          <w:sz w:val="24"/>
          <w:szCs w:val="24"/>
          <w:lang w:eastAsia="en-US"/>
        </w:rPr>
      </w:pPr>
      <w:r w:rsidRPr="00A26D0C">
        <w:rPr>
          <w:rFonts w:ascii="Times New Roman" w:eastAsia="Calibri" w:hAnsi="Times New Roman" w:cs="Times New Roman"/>
          <w:b/>
          <w:bCs/>
          <w:sz w:val="24"/>
          <w:szCs w:val="24"/>
          <w:lang w:eastAsia="en-US"/>
        </w:rPr>
        <w:t xml:space="preserve">Vertinimo objektas </w:t>
      </w:r>
      <w:r w:rsidRPr="00A26D0C">
        <w:rPr>
          <w:rFonts w:ascii="Times New Roman" w:eastAsia="Calibri" w:hAnsi="Times New Roman" w:cs="Times New Roman"/>
          <w:sz w:val="24"/>
          <w:szCs w:val="24"/>
          <w:lang w:eastAsia="en-US"/>
        </w:rPr>
        <w:t xml:space="preserve">– ŽŪŽIS ir su ja susijusios </w:t>
      </w:r>
      <w:r w:rsidRPr="00A26D0C">
        <w:rPr>
          <w:rFonts w:ascii="Times New Roman" w:eastAsia="Calibri" w:hAnsi="Times New Roman" w:cs="Times New Roman"/>
          <w:b/>
          <w:bCs/>
          <w:sz w:val="24"/>
          <w:szCs w:val="24"/>
          <w:lang w:eastAsia="en-US"/>
        </w:rPr>
        <w:t>9 SP intervencinės priemonės</w:t>
      </w:r>
      <w:r w:rsidRPr="00A26D0C">
        <w:rPr>
          <w:rFonts w:ascii="Times New Roman" w:eastAsia="Calibri" w:hAnsi="Times New Roman" w:cs="Times New Roman"/>
          <w:sz w:val="24"/>
          <w:szCs w:val="24"/>
          <w:lang w:eastAsia="en-US"/>
        </w:rPr>
        <w:t>, kurios</w:t>
      </w:r>
      <w:r w:rsidRPr="00A26D0C">
        <w:rPr>
          <w:rFonts w:ascii="Times New Roman" w:eastAsia="Calibri" w:hAnsi="Times New Roman" w:cs="Times New Roman"/>
          <w:b/>
          <w:bCs/>
          <w:sz w:val="24"/>
          <w:szCs w:val="24"/>
          <w:lang w:eastAsia="en-US"/>
        </w:rPr>
        <w:t xml:space="preserve"> </w:t>
      </w:r>
      <w:r w:rsidRPr="00A26D0C">
        <w:rPr>
          <w:rFonts w:ascii="Times New Roman" w:eastAsia="Calibri" w:hAnsi="Times New Roman" w:cs="Times New Roman"/>
          <w:sz w:val="24"/>
          <w:szCs w:val="24"/>
          <w:lang w:eastAsia="en-US"/>
        </w:rPr>
        <w:t>prisideda prie BŽŪP kompleksinio tikslo įgyvendinimo: 3 sektorinės (SP01vid1, SP03med1, SP03med4) ir 6 kaimo plėtros, iš kurių 3 skirtos bendradarbiavimui (KP20vvg, KP21sum, KP22eip) ir 3 – žinių perdavimui skirtos intervencijos (KP23ppi, KP24mįį, KP25kon). Vertinant skaitmenizavimo srities pasiekimus ir skaitmeninės pertvarkos strategijos įgyvendinimą aktualios ir kitos vertinimo objekte neįvardintos SP intervencinės priemonės (KP12vld, KP19sūp, KP31tvi, KP32svp), prisidedančios prie rezultato rodiklio R.3 įgyvendinimo.</w:t>
      </w:r>
    </w:p>
    <w:p w14:paraId="279BA4FD" w14:textId="77777777" w:rsidR="00A26D0C" w:rsidRPr="00A26D0C" w:rsidRDefault="00A26D0C" w:rsidP="00A26D0C">
      <w:pPr>
        <w:tabs>
          <w:tab w:val="left" w:pos="993"/>
        </w:tabs>
        <w:spacing w:after="0"/>
        <w:ind w:firstLine="709"/>
        <w:jc w:val="both"/>
        <w:rPr>
          <w:rFonts w:ascii="Times New Roman" w:eastAsia="Calibri" w:hAnsi="Times New Roman" w:cs="Times New Roman"/>
          <w:sz w:val="24"/>
          <w:szCs w:val="24"/>
          <w:lang w:eastAsia="en-US"/>
        </w:rPr>
      </w:pPr>
      <w:r w:rsidRPr="00A26D0C">
        <w:rPr>
          <w:rFonts w:ascii="Times New Roman" w:eastAsia="Calibri" w:hAnsi="Times New Roman" w:cs="Times New Roman"/>
          <w:sz w:val="24"/>
          <w:szCs w:val="24"/>
          <w:lang w:eastAsia="en-US"/>
        </w:rPr>
        <w:t>Atliekant vertinimą svarbu analizuoti ne tik atskirų SP intervencinių priemonių įgyvendinimo pažangą, bet ir pačios ŽŪŽIS, kaip integralios ir veiksmingos sistemos, funkcionavimą. Vertinant ŽŪŽIS integralumą, vertinimo objektas apima ne tik minėtas intervencines priemones, bet ir pagrindines ŽŪŽIS koordinavimo ir tinklaveikos struktūras: kolegialų ŽŪŽIS koordinuojantį subjektą ir LKT.</w:t>
      </w:r>
    </w:p>
    <w:p w14:paraId="191532BD" w14:textId="77777777" w:rsidR="00A26D0C" w:rsidRPr="00A26D0C" w:rsidRDefault="00A26D0C" w:rsidP="00A26D0C">
      <w:pPr>
        <w:numPr>
          <w:ilvl w:val="0"/>
          <w:numId w:val="43"/>
        </w:numPr>
        <w:tabs>
          <w:tab w:val="left" w:pos="993"/>
        </w:tabs>
        <w:spacing w:after="0"/>
        <w:ind w:firstLine="349"/>
        <w:contextualSpacing/>
        <w:jc w:val="both"/>
        <w:rPr>
          <w:rFonts w:ascii="Times New Roman" w:eastAsia="Calibri" w:hAnsi="Times New Roman" w:cs="Times New Roman"/>
          <w:color w:val="E97132"/>
          <w:sz w:val="24"/>
          <w:szCs w:val="24"/>
          <w:lang w:eastAsia="en-US"/>
        </w:rPr>
      </w:pPr>
      <w:r w:rsidRPr="00A26D0C">
        <w:rPr>
          <w:rFonts w:ascii="Times New Roman" w:eastAsia="Calibri" w:hAnsi="Times New Roman" w:cs="Times New Roman"/>
          <w:b/>
          <w:bCs/>
          <w:sz w:val="24"/>
          <w:szCs w:val="24"/>
          <w:lang w:eastAsia="en-US"/>
        </w:rPr>
        <w:lastRenderedPageBreak/>
        <w:t>Vertinimas apims</w:t>
      </w:r>
      <w:r w:rsidRPr="00A26D0C">
        <w:rPr>
          <w:rFonts w:ascii="Times New Roman" w:eastAsia="Calibri" w:hAnsi="Times New Roman" w:cs="Times New Roman"/>
          <w:sz w:val="24"/>
          <w:szCs w:val="24"/>
          <w:lang w:eastAsia="en-US"/>
        </w:rPr>
        <w:t xml:space="preserve"> SP įgyvendinimo laikotarpį nuo 2023 m. iki 2026 m. II </w:t>
      </w:r>
      <w:proofErr w:type="spellStart"/>
      <w:r w:rsidRPr="00A26D0C">
        <w:rPr>
          <w:rFonts w:ascii="Times New Roman" w:eastAsia="Calibri" w:hAnsi="Times New Roman" w:cs="Times New Roman"/>
          <w:sz w:val="24"/>
          <w:szCs w:val="24"/>
          <w:lang w:eastAsia="en-US"/>
        </w:rPr>
        <w:t>ketv</w:t>
      </w:r>
      <w:proofErr w:type="spellEnd"/>
      <w:r w:rsidRPr="00A26D0C">
        <w:rPr>
          <w:rFonts w:ascii="Times New Roman" w:eastAsia="Calibri" w:hAnsi="Times New Roman" w:cs="Times New Roman"/>
          <w:sz w:val="24"/>
          <w:szCs w:val="24"/>
          <w:lang w:eastAsia="en-US"/>
        </w:rPr>
        <w:t xml:space="preserve">. </w:t>
      </w:r>
    </w:p>
    <w:p w14:paraId="5D48324F" w14:textId="77777777" w:rsidR="00A26D0C" w:rsidRPr="00A26D0C" w:rsidRDefault="00A26D0C" w:rsidP="00A26D0C">
      <w:pPr>
        <w:numPr>
          <w:ilvl w:val="0"/>
          <w:numId w:val="43"/>
        </w:numPr>
        <w:tabs>
          <w:tab w:val="left" w:pos="993"/>
        </w:tabs>
        <w:spacing w:after="240"/>
        <w:ind w:left="0" w:firstLine="709"/>
        <w:contextualSpacing/>
        <w:jc w:val="both"/>
        <w:rPr>
          <w:rFonts w:ascii="Times New Roman" w:eastAsia="Calibri" w:hAnsi="Times New Roman" w:cs="Times New Roman"/>
          <w:sz w:val="24"/>
          <w:szCs w:val="24"/>
          <w:lang w:eastAsia="en-US"/>
        </w:rPr>
      </w:pPr>
      <w:r w:rsidRPr="00A26D0C">
        <w:rPr>
          <w:rFonts w:ascii="Times New Roman" w:eastAsia="Calibri" w:hAnsi="Times New Roman" w:cs="Times New Roman"/>
          <w:b/>
          <w:bCs/>
          <w:sz w:val="24"/>
          <w:szCs w:val="24"/>
          <w:lang w:eastAsia="en-US"/>
        </w:rPr>
        <w:t>Vertinimo uždaviniai ir klausimai:</w:t>
      </w:r>
    </w:p>
    <w:p w14:paraId="35BEDCA3" w14:textId="77777777" w:rsidR="00A26D0C" w:rsidRPr="00A26D0C" w:rsidRDefault="00A26D0C" w:rsidP="006D6B2B">
      <w:pPr>
        <w:numPr>
          <w:ilvl w:val="1"/>
          <w:numId w:val="43"/>
        </w:numPr>
        <w:pBdr>
          <w:top w:val="single" w:sz="4" w:space="1" w:color="auto"/>
          <w:left w:val="single" w:sz="4" w:space="4" w:color="auto"/>
          <w:bottom w:val="single" w:sz="4" w:space="1" w:color="auto"/>
          <w:right w:val="single" w:sz="4" w:space="4" w:color="auto"/>
        </w:pBdr>
        <w:shd w:val="clear" w:color="auto" w:fill="DAE9F7"/>
        <w:tabs>
          <w:tab w:val="left" w:pos="1418"/>
        </w:tabs>
        <w:spacing w:after="0"/>
        <w:ind w:left="0" w:firstLine="709"/>
        <w:contextualSpacing/>
        <w:jc w:val="both"/>
        <w:rPr>
          <w:rFonts w:ascii="Times New Roman" w:eastAsia="Calibri" w:hAnsi="Times New Roman" w:cs="Times New Roman"/>
          <w:color w:val="BF4E14"/>
          <w:sz w:val="24"/>
          <w:szCs w:val="24"/>
          <w:lang w:eastAsia="en-US"/>
        </w:rPr>
      </w:pPr>
      <w:r w:rsidRPr="00A26D0C">
        <w:rPr>
          <w:rFonts w:ascii="Times New Roman" w:eastAsia="Calibri" w:hAnsi="Times New Roman" w:cs="Times New Roman"/>
          <w:sz w:val="24"/>
          <w:szCs w:val="24"/>
          <w:lang w:eastAsia="en-US"/>
        </w:rPr>
        <w:t>įvertinti ŽŪŽIS ir SP intervencinių priemonių, prisidedančių prie BŽŪP kompleksinio tikslo įgyvendinimo, veiksmingumą modernizuojant ir skaitmenizuojant žemės ūkį ir kaimo vietoves:</w:t>
      </w:r>
    </w:p>
    <w:p w14:paraId="76232E2E" w14:textId="77777777" w:rsidR="00A26D0C" w:rsidRPr="00A26D0C" w:rsidRDefault="00A26D0C" w:rsidP="006D6B2B">
      <w:pPr>
        <w:numPr>
          <w:ilvl w:val="2"/>
          <w:numId w:val="43"/>
        </w:numPr>
        <w:tabs>
          <w:tab w:val="left" w:pos="1701"/>
        </w:tabs>
        <w:spacing w:after="240"/>
        <w:ind w:left="0" w:firstLine="709"/>
        <w:contextualSpacing/>
        <w:jc w:val="both"/>
        <w:rPr>
          <w:rFonts w:ascii="Times New Roman" w:eastAsia="Calibri" w:hAnsi="Times New Roman" w:cs="Times New Roman"/>
          <w:bCs/>
          <w:sz w:val="24"/>
          <w:szCs w:val="24"/>
          <w:lang w:eastAsia="en-US"/>
        </w:rPr>
      </w:pPr>
      <w:r w:rsidRPr="00A26D0C">
        <w:rPr>
          <w:rFonts w:ascii="Times New Roman" w:eastAsia="Calibri" w:hAnsi="Times New Roman" w:cs="Times New Roman"/>
          <w:bCs/>
          <w:sz w:val="24"/>
          <w:szCs w:val="24"/>
          <w:lang w:eastAsia="en-US"/>
        </w:rPr>
        <w:t xml:space="preserve">Kaip ir kokiu mastu SP parama paskatino tikslinių grupių (paramos gavėjų ir galutinių naudos gavėjų) dalyvavimą kompleksinį tikslą įgyvendinančiose priemonėse (nurodyti pagal sektorius, ūkių/įmonių dydį, amžiaus struktūrą ir kitus nustatytus reikšmingus parametrus)? </w:t>
      </w:r>
    </w:p>
    <w:p w14:paraId="3EAF9A2A" w14:textId="77777777" w:rsidR="00A26D0C" w:rsidRPr="00A26D0C" w:rsidRDefault="00A26D0C" w:rsidP="006D6B2B">
      <w:pPr>
        <w:numPr>
          <w:ilvl w:val="2"/>
          <w:numId w:val="43"/>
        </w:numPr>
        <w:tabs>
          <w:tab w:val="left" w:pos="1701"/>
        </w:tabs>
        <w:spacing w:after="240"/>
        <w:ind w:left="0" w:firstLine="709"/>
        <w:contextualSpacing/>
        <w:jc w:val="both"/>
        <w:rPr>
          <w:rFonts w:ascii="Times New Roman" w:eastAsia="Calibri" w:hAnsi="Times New Roman" w:cs="Times New Roman"/>
          <w:bCs/>
          <w:sz w:val="24"/>
          <w:szCs w:val="24"/>
          <w:lang w:eastAsia="en-US"/>
        </w:rPr>
      </w:pPr>
      <w:r w:rsidRPr="00A26D0C">
        <w:rPr>
          <w:rFonts w:ascii="Times New Roman" w:eastAsia="Calibri" w:hAnsi="Times New Roman" w:cs="Times New Roman"/>
          <w:bCs/>
          <w:sz w:val="24"/>
          <w:szCs w:val="24"/>
          <w:lang w:eastAsia="en-US"/>
        </w:rPr>
        <w:t xml:space="preserve">Kaip ir kokiu mastu intervencinės priemonės prisidėjo prie inovacijų kūrimo ir diegimo ūkiuose bei kaimo vietovėse, stiprinant galutinių naudos gavėjų gebėjimus taikyti inovatyvius sprendimus? </w:t>
      </w:r>
    </w:p>
    <w:p w14:paraId="71BA160C" w14:textId="77777777" w:rsidR="00A26D0C" w:rsidRPr="00A26D0C" w:rsidRDefault="00A26D0C" w:rsidP="006D6B2B">
      <w:pPr>
        <w:numPr>
          <w:ilvl w:val="2"/>
          <w:numId w:val="43"/>
        </w:numPr>
        <w:tabs>
          <w:tab w:val="left" w:pos="1701"/>
        </w:tabs>
        <w:spacing w:after="240"/>
        <w:ind w:left="0" w:firstLine="709"/>
        <w:contextualSpacing/>
        <w:jc w:val="both"/>
        <w:rPr>
          <w:rFonts w:ascii="Times New Roman" w:eastAsia="Calibri" w:hAnsi="Times New Roman" w:cs="Times New Roman"/>
          <w:bCs/>
          <w:sz w:val="24"/>
          <w:szCs w:val="24"/>
          <w:lang w:eastAsia="en-US"/>
        </w:rPr>
      </w:pPr>
      <w:r w:rsidRPr="00A26D0C">
        <w:rPr>
          <w:rFonts w:ascii="Times New Roman" w:eastAsia="Calibri" w:hAnsi="Times New Roman" w:cs="Times New Roman"/>
          <w:bCs/>
          <w:sz w:val="24"/>
          <w:szCs w:val="24"/>
          <w:lang w:eastAsia="en-US"/>
        </w:rPr>
        <w:t>Kokios inovacijos (pvz., technologinės, inovatyvių produktų gamybos, organizacinės, paslaugų, ūkių valdymo, procesų valdymo ir kt.) ir kokiu mastu buvo paskatintos (pagal sektorius, ūkių/įmonių dydį, amžiaus struktūrą ir kitus nustatytus reikšmingus parametrus)?</w:t>
      </w:r>
    </w:p>
    <w:p w14:paraId="0AECAD91" w14:textId="77777777" w:rsidR="00A26D0C" w:rsidRPr="00A26D0C" w:rsidRDefault="00A26D0C" w:rsidP="006D6B2B">
      <w:pPr>
        <w:numPr>
          <w:ilvl w:val="2"/>
          <w:numId w:val="43"/>
        </w:numPr>
        <w:tabs>
          <w:tab w:val="left" w:pos="1701"/>
        </w:tabs>
        <w:spacing w:after="240"/>
        <w:ind w:left="0" w:firstLine="709"/>
        <w:contextualSpacing/>
        <w:jc w:val="both"/>
        <w:rPr>
          <w:rFonts w:ascii="Times New Roman" w:eastAsia="Calibri" w:hAnsi="Times New Roman" w:cs="Times New Roman"/>
          <w:bCs/>
          <w:sz w:val="24"/>
          <w:szCs w:val="24"/>
          <w:lang w:eastAsia="en-US"/>
        </w:rPr>
      </w:pPr>
      <w:r w:rsidRPr="00A26D0C">
        <w:rPr>
          <w:rFonts w:ascii="Times New Roman" w:eastAsia="Calibri" w:hAnsi="Times New Roman" w:cs="Times New Roman"/>
          <w:bCs/>
          <w:sz w:val="24"/>
          <w:szCs w:val="24"/>
          <w:lang w:eastAsia="en-US"/>
        </w:rPr>
        <w:t>Kaip ir kokiu mastu intervencinės priemonės prisidėjo prie SP skaitmeninės pertvarkos strategijos įgyvendinimo?</w:t>
      </w:r>
    </w:p>
    <w:p w14:paraId="34CB5A09" w14:textId="77777777" w:rsidR="00A26D0C" w:rsidRPr="00A26D0C" w:rsidRDefault="00A26D0C" w:rsidP="006D6B2B">
      <w:pPr>
        <w:numPr>
          <w:ilvl w:val="2"/>
          <w:numId w:val="43"/>
        </w:numPr>
        <w:tabs>
          <w:tab w:val="left" w:pos="1701"/>
        </w:tabs>
        <w:spacing w:after="240"/>
        <w:ind w:left="0" w:firstLine="709"/>
        <w:contextualSpacing/>
        <w:jc w:val="both"/>
        <w:rPr>
          <w:rFonts w:ascii="Times New Roman" w:eastAsia="Calibri" w:hAnsi="Times New Roman" w:cs="Times New Roman"/>
          <w:bCs/>
          <w:sz w:val="24"/>
          <w:szCs w:val="24"/>
          <w:lang w:eastAsia="en-US"/>
        </w:rPr>
      </w:pPr>
      <w:r w:rsidRPr="00A26D0C">
        <w:rPr>
          <w:rFonts w:ascii="Times New Roman" w:eastAsia="Calibri" w:hAnsi="Times New Roman" w:cs="Times New Roman"/>
          <w:bCs/>
          <w:sz w:val="24"/>
          <w:szCs w:val="24"/>
          <w:lang w:eastAsia="en-US"/>
        </w:rPr>
        <w:t>Kaip ir kokiu mastu intervencinės priemonės prisidėjo prie žemės ūkio sektoriaus modernizavimo per mokymus ir keitimąsi žiniomis? Kaip buvo užtikrinta mokymosi ir keitimosi žiniomis kokybė ir atitikimas žemės ūkio subjektų poreikiams?</w:t>
      </w:r>
    </w:p>
    <w:p w14:paraId="7849D43F" w14:textId="77777777" w:rsidR="00A26D0C" w:rsidRPr="00A26D0C" w:rsidRDefault="00A26D0C" w:rsidP="006D6B2B">
      <w:pPr>
        <w:numPr>
          <w:ilvl w:val="2"/>
          <w:numId w:val="43"/>
        </w:numPr>
        <w:tabs>
          <w:tab w:val="left" w:pos="1701"/>
        </w:tabs>
        <w:spacing w:after="240"/>
        <w:ind w:left="0" w:firstLine="709"/>
        <w:contextualSpacing/>
        <w:jc w:val="both"/>
        <w:rPr>
          <w:rFonts w:ascii="Times New Roman" w:eastAsia="Calibri" w:hAnsi="Times New Roman" w:cs="Times New Roman"/>
          <w:bCs/>
          <w:sz w:val="24"/>
          <w:szCs w:val="24"/>
          <w:lang w:eastAsia="en-US"/>
        </w:rPr>
      </w:pPr>
      <w:r w:rsidRPr="00A26D0C">
        <w:rPr>
          <w:rFonts w:ascii="Times New Roman" w:eastAsia="Calibri" w:hAnsi="Times New Roman" w:cs="Times New Roman"/>
          <w:bCs/>
          <w:sz w:val="24"/>
          <w:szCs w:val="24"/>
          <w:lang w:eastAsia="en-US"/>
        </w:rPr>
        <w:t xml:space="preserve">Kaip ir kokiu mastu intervencinės priemonės prisidėjo prie kvalifikuotų konsultacijų prieinamumo žemės ūkio sektoriaus subjektams? Ar ir kokiu mastu kvalifikuotos konsultacijos ir keitimasis žiniomis pasiekė labai smulkių ir smulkių-vidutinių ūkių valdytojus? </w:t>
      </w:r>
    </w:p>
    <w:p w14:paraId="436071F1" w14:textId="77777777" w:rsidR="00A26D0C" w:rsidRPr="00A26D0C" w:rsidRDefault="00A26D0C" w:rsidP="006D6B2B">
      <w:pPr>
        <w:numPr>
          <w:ilvl w:val="2"/>
          <w:numId w:val="43"/>
        </w:numPr>
        <w:tabs>
          <w:tab w:val="left" w:pos="1701"/>
        </w:tabs>
        <w:spacing w:after="240"/>
        <w:ind w:left="0" w:firstLine="709"/>
        <w:contextualSpacing/>
        <w:jc w:val="both"/>
        <w:rPr>
          <w:rFonts w:ascii="Times New Roman" w:eastAsia="Calibri" w:hAnsi="Times New Roman" w:cs="Times New Roman"/>
          <w:bCs/>
          <w:sz w:val="24"/>
          <w:szCs w:val="24"/>
          <w:lang w:eastAsia="en-US"/>
        </w:rPr>
      </w:pPr>
      <w:r w:rsidRPr="00A26D0C">
        <w:rPr>
          <w:rFonts w:ascii="Times New Roman" w:eastAsia="Calibri" w:hAnsi="Times New Roman" w:cs="Times New Roman"/>
          <w:bCs/>
          <w:sz w:val="24"/>
          <w:szCs w:val="24"/>
          <w:lang w:eastAsia="en-US"/>
        </w:rPr>
        <w:t>Kaip ir kokiu mastu intervencinės priemonės prisidėjo prie konsultantų kompetencijos ir žinių didinimo bei jų įsitraukimo į ŽŪŽIS?</w:t>
      </w:r>
    </w:p>
    <w:p w14:paraId="66000A88" w14:textId="77777777" w:rsidR="00A26D0C" w:rsidRPr="00A26D0C" w:rsidRDefault="00A26D0C" w:rsidP="00A26D0C">
      <w:pPr>
        <w:tabs>
          <w:tab w:val="left" w:pos="1701"/>
        </w:tabs>
        <w:spacing w:after="240"/>
        <w:ind w:left="993"/>
        <w:contextualSpacing/>
        <w:jc w:val="both"/>
        <w:rPr>
          <w:rFonts w:ascii="Times New Roman" w:eastAsia="Calibri" w:hAnsi="Times New Roman" w:cs="Times New Roman"/>
          <w:bCs/>
          <w:sz w:val="24"/>
          <w:szCs w:val="24"/>
          <w:lang w:eastAsia="en-US"/>
        </w:rPr>
      </w:pPr>
    </w:p>
    <w:p w14:paraId="2AA0F766" w14:textId="77777777" w:rsidR="00A26D0C" w:rsidRPr="00A26D0C" w:rsidRDefault="00A26D0C" w:rsidP="006D6B2B">
      <w:pPr>
        <w:numPr>
          <w:ilvl w:val="1"/>
          <w:numId w:val="43"/>
        </w:numPr>
        <w:pBdr>
          <w:top w:val="single" w:sz="4" w:space="1" w:color="auto"/>
          <w:left w:val="single" w:sz="4" w:space="4" w:color="auto"/>
          <w:bottom w:val="single" w:sz="4" w:space="1" w:color="auto"/>
          <w:right w:val="single" w:sz="4" w:space="4" w:color="auto"/>
        </w:pBdr>
        <w:shd w:val="clear" w:color="auto" w:fill="DAE9F7"/>
        <w:tabs>
          <w:tab w:val="left" w:pos="1418"/>
        </w:tabs>
        <w:spacing w:after="0"/>
        <w:ind w:left="0" w:firstLine="709"/>
        <w:contextualSpacing/>
        <w:jc w:val="both"/>
        <w:rPr>
          <w:rFonts w:ascii="Times New Roman" w:eastAsia="Calibri" w:hAnsi="Times New Roman" w:cs="Times New Roman"/>
          <w:color w:val="BF4E14"/>
          <w:sz w:val="24"/>
          <w:szCs w:val="24"/>
          <w:lang w:eastAsia="en-US"/>
        </w:rPr>
      </w:pPr>
      <w:r w:rsidRPr="00A26D0C">
        <w:rPr>
          <w:rFonts w:ascii="Times New Roman" w:eastAsia="Calibri" w:hAnsi="Times New Roman" w:cs="Times New Roman"/>
          <w:sz w:val="24"/>
          <w:szCs w:val="24"/>
          <w:lang w:eastAsia="en-US"/>
        </w:rPr>
        <w:t>įvertinti ŽŪŽIS ir SP intervencinių priemonių, prisidedančių prie BŽŪP kompleksinio tikslo įgyvendinimo, indėlį stiprinant ŽŪŽIS integralumą ir žinių srautus tarp pagrindinių sistemos dalyvių:</w:t>
      </w:r>
    </w:p>
    <w:p w14:paraId="7C3FBE6C" w14:textId="77777777" w:rsidR="00A26D0C" w:rsidRPr="00A26D0C" w:rsidRDefault="00A26D0C" w:rsidP="006D6B2B">
      <w:pPr>
        <w:numPr>
          <w:ilvl w:val="2"/>
          <w:numId w:val="43"/>
        </w:numPr>
        <w:tabs>
          <w:tab w:val="left" w:pos="1701"/>
          <w:tab w:val="left" w:pos="1843"/>
          <w:tab w:val="left" w:pos="1985"/>
        </w:tabs>
        <w:spacing w:after="240"/>
        <w:ind w:left="0" w:firstLine="709"/>
        <w:contextualSpacing/>
        <w:jc w:val="both"/>
        <w:rPr>
          <w:rFonts w:ascii="Times New Roman" w:eastAsia="Calibri" w:hAnsi="Times New Roman" w:cs="Times New Roman"/>
          <w:bCs/>
          <w:sz w:val="24"/>
          <w:szCs w:val="24"/>
          <w:lang w:eastAsia="en-US"/>
        </w:rPr>
      </w:pPr>
      <w:r w:rsidRPr="00A26D0C">
        <w:rPr>
          <w:rFonts w:ascii="Times New Roman" w:eastAsia="Calibri" w:hAnsi="Times New Roman" w:cs="Times New Roman"/>
          <w:bCs/>
          <w:sz w:val="24"/>
          <w:szCs w:val="24"/>
          <w:lang w:eastAsia="en-US"/>
        </w:rPr>
        <w:t xml:space="preserve">Kaip ir kokiu mastu ŽŪŽIS ir SP intervencinės priemonės prisidėjo prie ŽŪŽIS fragmentacijos mažinimo ir sistemos integralumo stiprinimo, gerinant bendradarbiavimą, ryšių kūrimą ir žinių sklaidą tarp ŽŪŽIS dalyvių? </w:t>
      </w:r>
    </w:p>
    <w:p w14:paraId="3479222E" w14:textId="77777777" w:rsidR="00A26D0C" w:rsidRPr="00A26D0C" w:rsidRDefault="00A26D0C" w:rsidP="006D6B2B">
      <w:pPr>
        <w:numPr>
          <w:ilvl w:val="2"/>
          <w:numId w:val="43"/>
        </w:numPr>
        <w:tabs>
          <w:tab w:val="left" w:pos="1701"/>
        </w:tabs>
        <w:spacing w:after="240"/>
        <w:ind w:left="0" w:firstLine="709"/>
        <w:contextualSpacing/>
        <w:jc w:val="both"/>
        <w:rPr>
          <w:rFonts w:ascii="Times New Roman" w:eastAsia="Calibri" w:hAnsi="Times New Roman" w:cs="Times New Roman"/>
          <w:bCs/>
          <w:sz w:val="24"/>
          <w:szCs w:val="24"/>
          <w:lang w:eastAsia="en-US"/>
        </w:rPr>
      </w:pPr>
      <w:r w:rsidRPr="00A26D0C">
        <w:rPr>
          <w:rFonts w:ascii="Times New Roman" w:eastAsia="Calibri" w:hAnsi="Times New Roman" w:cs="Times New Roman"/>
          <w:bCs/>
          <w:sz w:val="24"/>
          <w:szCs w:val="24"/>
          <w:lang w:eastAsia="en-US"/>
        </w:rPr>
        <w:t>Kaip ir kokiu mastu ŽŪŽIS ir SP intervencinės priemonės prisidėjo prie EIP grupių kūrimosi ir tolesnės jų veiklos plėtotės?</w:t>
      </w:r>
    </w:p>
    <w:p w14:paraId="26211CBF" w14:textId="77777777" w:rsidR="00A26D0C" w:rsidRPr="00A26D0C" w:rsidRDefault="00A26D0C" w:rsidP="006D6B2B">
      <w:pPr>
        <w:numPr>
          <w:ilvl w:val="2"/>
          <w:numId w:val="43"/>
        </w:numPr>
        <w:tabs>
          <w:tab w:val="left" w:pos="1701"/>
        </w:tabs>
        <w:spacing w:after="240"/>
        <w:ind w:left="0" w:firstLine="709"/>
        <w:contextualSpacing/>
        <w:jc w:val="both"/>
        <w:rPr>
          <w:rFonts w:ascii="Times New Roman" w:eastAsia="Calibri" w:hAnsi="Times New Roman" w:cs="Times New Roman"/>
          <w:bCs/>
          <w:sz w:val="24"/>
          <w:szCs w:val="24"/>
          <w:lang w:eastAsia="en-US"/>
        </w:rPr>
      </w:pPr>
      <w:r w:rsidRPr="00A26D0C">
        <w:rPr>
          <w:rFonts w:ascii="Times New Roman" w:eastAsia="Calibri" w:hAnsi="Times New Roman" w:cs="Times New Roman"/>
          <w:bCs/>
          <w:sz w:val="24"/>
          <w:szCs w:val="24"/>
          <w:lang w:eastAsia="en-US"/>
        </w:rPr>
        <w:t>Kaip ir kokiu mastu ŽŪŽIS ir SP intervencinės priemonės prisidėjo prie tarptautinio bendradarbiavimo veiklų stiprinimo? Ar sudarytos sąlygos ŽŪŽIS dalyvių įsitraukimui į ES bendrosios mokslinių tyrimų ir inovacijų programos „Europos horizontas“ projektus ir tematinius tinklus?</w:t>
      </w:r>
    </w:p>
    <w:p w14:paraId="5F58A3A7" w14:textId="77777777" w:rsidR="00A26D0C" w:rsidRPr="00A26D0C" w:rsidRDefault="00A26D0C" w:rsidP="006D6B2B">
      <w:pPr>
        <w:numPr>
          <w:ilvl w:val="2"/>
          <w:numId w:val="43"/>
        </w:numPr>
        <w:tabs>
          <w:tab w:val="left" w:pos="1701"/>
          <w:tab w:val="left" w:pos="1985"/>
        </w:tabs>
        <w:spacing w:after="240"/>
        <w:ind w:left="0" w:firstLine="709"/>
        <w:contextualSpacing/>
        <w:jc w:val="both"/>
        <w:rPr>
          <w:rFonts w:ascii="Times New Roman" w:eastAsia="Calibri" w:hAnsi="Times New Roman" w:cs="Times New Roman"/>
          <w:bCs/>
          <w:sz w:val="24"/>
          <w:szCs w:val="24"/>
          <w:lang w:eastAsia="en-US"/>
        </w:rPr>
      </w:pPr>
      <w:r w:rsidRPr="00A26D0C">
        <w:rPr>
          <w:rFonts w:ascii="Times New Roman" w:eastAsia="Calibri" w:hAnsi="Times New Roman" w:cs="Times New Roman"/>
          <w:bCs/>
          <w:sz w:val="24"/>
          <w:szCs w:val="24"/>
          <w:lang w:eastAsia="en-US"/>
        </w:rPr>
        <w:t>Kaip ŽŪŽIS koordinavimo ir tinklaveikos struktūros bei kuriama skaitmeninė platforma prisideda prie ŽŪŽIS integralumo stiprinimo? Ar yra sudarytos sąlygos skaitmeninės platformos veiksmingam funkcionavimui ir tolesnei plėtrai, atsižvelgiant į žemės ūkio sektoriaus poreikius?</w:t>
      </w:r>
    </w:p>
    <w:p w14:paraId="668B1675" w14:textId="77777777" w:rsidR="00A26D0C" w:rsidRPr="00A26D0C" w:rsidRDefault="00A26D0C" w:rsidP="006D6B2B">
      <w:pPr>
        <w:numPr>
          <w:ilvl w:val="2"/>
          <w:numId w:val="43"/>
        </w:numPr>
        <w:tabs>
          <w:tab w:val="left" w:pos="1701"/>
          <w:tab w:val="left" w:pos="1985"/>
        </w:tabs>
        <w:spacing w:after="240"/>
        <w:ind w:left="0" w:firstLine="709"/>
        <w:contextualSpacing/>
        <w:jc w:val="both"/>
        <w:rPr>
          <w:rFonts w:ascii="Times New Roman" w:eastAsia="Calibri" w:hAnsi="Times New Roman" w:cs="Times New Roman"/>
          <w:bCs/>
          <w:sz w:val="24"/>
          <w:szCs w:val="24"/>
          <w:lang w:eastAsia="en-US"/>
        </w:rPr>
      </w:pPr>
      <w:r w:rsidRPr="00A26D0C">
        <w:rPr>
          <w:rFonts w:ascii="Times New Roman" w:eastAsia="Calibri" w:hAnsi="Times New Roman" w:cs="Times New Roman"/>
          <w:bCs/>
          <w:sz w:val="24"/>
          <w:szCs w:val="24"/>
          <w:lang w:eastAsia="en-US"/>
        </w:rPr>
        <w:t>Kokia apimtimi žemės ūkio subjektai yra informuoti apie ŽŪŽIS paslaugas ir galimybes? Kaip ši informacija pasiekia tikslines grupes?</w:t>
      </w:r>
    </w:p>
    <w:p w14:paraId="00E969B7" w14:textId="77777777" w:rsidR="00A26D0C" w:rsidRPr="00A26D0C" w:rsidRDefault="00A26D0C" w:rsidP="006D6B2B">
      <w:pPr>
        <w:numPr>
          <w:ilvl w:val="2"/>
          <w:numId w:val="43"/>
        </w:numPr>
        <w:tabs>
          <w:tab w:val="left" w:pos="1701"/>
        </w:tabs>
        <w:spacing w:after="0"/>
        <w:ind w:left="0" w:firstLine="709"/>
        <w:contextualSpacing/>
        <w:jc w:val="both"/>
        <w:rPr>
          <w:rFonts w:ascii="Times New Roman" w:eastAsia="Calibri" w:hAnsi="Times New Roman" w:cs="Times New Roman"/>
          <w:bCs/>
          <w:sz w:val="24"/>
          <w:szCs w:val="24"/>
          <w:lang w:eastAsia="en-US"/>
        </w:rPr>
      </w:pPr>
      <w:r w:rsidRPr="00A26D0C">
        <w:rPr>
          <w:rFonts w:ascii="Times New Roman" w:eastAsia="Calibri" w:hAnsi="Times New Roman" w:cs="Times New Roman"/>
          <w:bCs/>
          <w:sz w:val="24"/>
          <w:szCs w:val="24"/>
          <w:lang w:eastAsia="en-US"/>
        </w:rPr>
        <w:lastRenderedPageBreak/>
        <w:t>Kaip ŽŪŽIS dalyviai vertina savo vaidmens aiškumą ir galimybę daryti įtaką ŽŪŽIS vystymuisi? Ar veikia grįžtamąjį ryšį skatinančios priemonės, leidžiančios ŽŪŽIS naudos gavėjams išreikšti poreikius konsultacijoms, mokymams, demonstraciniams projektams ar kitiems ŽŪŽIS veiksmams, atsižvelgiant į žemės ūkio sektoriaus tendencijas ir aktualijas? Jei taip, kokios ir kodėl?</w:t>
      </w:r>
    </w:p>
    <w:p w14:paraId="1589317A" w14:textId="77777777" w:rsidR="00A26D0C" w:rsidRPr="00A26D0C" w:rsidRDefault="00A26D0C" w:rsidP="00A26D0C">
      <w:pPr>
        <w:tabs>
          <w:tab w:val="left" w:pos="1701"/>
        </w:tabs>
        <w:spacing w:after="0"/>
        <w:ind w:left="993"/>
        <w:contextualSpacing/>
        <w:jc w:val="both"/>
        <w:rPr>
          <w:rFonts w:ascii="Times New Roman" w:eastAsia="Calibri" w:hAnsi="Times New Roman" w:cs="Times New Roman"/>
          <w:bCs/>
          <w:sz w:val="24"/>
          <w:szCs w:val="24"/>
          <w:lang w:eastAsia="en-US"/>
        </w:rPr>
      </w:pPr>
    </w:p>
    <w:p w14:paraId="4B3BDE4D" w14:textId="77777777" w:rsidR="00A26D0C" w:rsidRPr="00A26D0C" w:rsidRDefault="00A26D0C" w:rsidP="006D6B2B">
      <w:pPr>
        <w:numPr>
          <w:ilvl w:val="1"/>
          <w:numId w:val="43"/>
        </w:numPr>
        <w:pBdr>
          <w:top w:val="single" w:sz="4" w:space="1" w:color="auto"/>
          <w:left w:val="single" w:sz="4" w:space="4" w:color="auto"/>
          <w:bottom w:val="single" w:sz="4" w:space="1" w:color="auto"/>
          <w:right w:val="single" w:sz="4" w:space="4" w:color="auto"/>
        </w:pBdr>
        <w:shd w:val="clear" w:color="auto" w:fill="DAE9F7"/>
        <w:tabs>
          <w:tab w:val="left" w:pos="1418"/>
        </w:tabs>
        <w:spacing w:after="0"/>
        <w:ind w:left="0" w:firstLine="709"/>
        <w:contextualSpacing/>
        <w:jc w:val="both"/>
        <w:rPr>
          <w:rFonts w:ascii="Times New Roman" w:eastAsia="Calibri" w:hAnsi="Times New Roman" w:cs="Times New Roman"/>
          <w:color w:val="BF4E14"/>
          <w:sz w:val="24"/>
          <w:szCs w:val="24"/>
          <w:lang w:eastAsia="en-US"/>
        </w:rPr>
      </w:pPr>
      <w:r w:rsidRPr="00A26D0C">
        <w:rPr>
          <w:rFonts w:ascii="Times New Roman" w:eastAsia="Calibri" w:hAnsi="Times New Roman" w:cs="Times New Roman"/>
          <w:bCs/>
          <w:sz w:val="24"/>
          <w:szCs w:val="24"/>
          <w:lang w:eastAsia="en-US"/>
        </w:rPr>
        <w:t>pateikti pagrįstus pasiūlymus dėl ŽŪŽIS ir BŽŪP kompleksinį tikslą įgyvendinančių priemonių tobulinimo atsižvelgiant į BŽŪP tikslus ir BŽŪP po 2027 m. iššūkių kontekstą.</w:t>
      </w:r>
    </w:p>
    <w:p w14:paraId="52CC122A" w14:textId="77777777" w:rsidR="00A26D0C" w:rsidRPr="00A26D0C" w:rsidRDefault="00A26D0C" w:rsidP="006D6B2B">
      <w:pPr>
        <w:numPr>
          <w:ilvl w:val="2"/>
          <w:numId w:val="43"/>
        </w:numPr>
        <w:tabs>
          <w:tab w:val="left" w:pos="1701"/>
        </w:tabs>
        <w:spacing w:after="240"/>
        <w:ind w:left="0" w:firstLine="709"/>
        <w:contextualSpacing/>
        <w:jc w:val="both"/>
        <w:rPr>
          <w:rFonts w:ascii="Times New Roman" w:eastAsia="Calibri" w:hAnsi="Times New Roman" w:cs="Times New Roman"/>
          <w:b/>
          <w:bCs/>
          <w:sz w:val="24"/>
          <w:szCs w:val="24"/>
          <w:lang w:eastAsia="en-US"/>
        </w:rPr>
      </w:pPr>
      <w:r w:rsidRPr="00A26D0C">
        <w:rPr>
          <w:rFonts w:ascii="Times New Roman" w:eastAsia="Calibri" w:hAnsi="Times New Roman" w:cs="Times New Roman"/>
          <w:bCs/>
          <w:sz w:val="24"/>
          <w:szCs w:val="24"/>
          <w:lang w:eastAsia="en-US"/>
        </w:rPr>
        <w:t>Kokie pagrindiniai veiksniai riboja tikslinių grupių galimybes naudotis ŽŪŽIS teikiamomis paslaugomis ir aktyviai dalyvauti su kompleksiniu tikslu susijusiose SP intervencinėse priemonėse? Ar egzistuoja regioniniai ar žemės ūkio sektorių skirtumai dalyvavimo ŽŪŽIS veiklose atžvilgiu? Jei taip, tai kokie? Kokie veiksmai būtų tikslingi šiems barjerams mažinti, siekiant užtikrinti platesnį ir aktyvesnį dalyvavimą?</w:t>
      </w:r>
    </w:p>
    <w:p w14:paraId="79E1C3D9" w14:textId="77777777" w:rsidR="00A26D0C" w:rsidRPr="00A26D0C" w:rsidRDefault="00A26D0C" w:rsidP="006D6B2B">
      <w:pPr>
        <w:numPr>
          <w:ilvl w:val="2"/>
          <w:numId w:val="43"/>
        </w:numPr>
        <w:tabs>
          <w:tab w:val="left" w:pos="1701"/>
        </w:tabs>
        <w:spacing w:after="0"/>
        <w:ind w:left="0" w:firstLine="709"/>
        <w:contextualSpacing/>
        <w:jc w:val="both"/>
        <w:rPr>
          <w:rFonts w:ascii="Times New Roman" w:eastAsia="Calibri" w:hAnsi="Times New Roman" w:cs="Times New Roman"/>
          <w:b/>
          <w:bCs/>
          <w:sz w:val="24"/>
          <w:szCs w:val="24"/>
          <w:lang w:eastAsia="en-US"/>
        </w:rPr>
      </w:pPr>
      <w:r w:rsidRPr="00A26D0C">
        <w:rPr>
          <w:rFonts w:ascii="Times New Roman" w:eastAsia="Calibri" w:hAnsi="Times New Roman" w:cs="Times New Roman"/>
          <w:bCs/>
          <w:sz w:val="24"/>
          <w:szCs w:val="24"/>
          <w:lang w:eastAsia="en-US"/>
        </w:rPr>
        <w:t>Kokios ŽŪŽIS bei susijusių SP priemonių tobulinimo kryptys ir galimybės,</w:t>
      </w:r>
      <w:r w:rsidRPr="00A26D0C">
        <w:rPr>
          <w:rFonts w:ascii="Arial" w:eastAsia="Calibri" w:hAnsi="Arial" w:cs="Arial"/>
          <w:sz w:val="20"/>
          <w:szCs w:val="22"/>
          <w:lang w:eastAsia="en-US"/>
        </w:rPr>
        <w:t xml:space="preserve"> </w:t>
      </w:r>
      <w:r w:rsidRPr="00A26D0C">
        <w:rPr>
          <w:rFonts w:ascii="Times New Roman" w:eastAsia="Calibri" w:hAnsi="Times New Roman" w:cs="Times New Roman"/>
          <w:bCs/>
          <w:sz w:val="24"/>
          <w:szCs w:val="24"/>
          <w:lang w:eastAsia="en-US"/>
        </w:rPr>
        <w:t>remiantis vertinimo išvadomis dėl veiksmingumo, integralumo ir skaitmeninimo pažangos, rengiantis naujajam BŽŪP programiniam laikotarpiui?</w:t>
      </w:r>
    </w:p>
    <w:p w14:paraId="65235FEE" w14:textId="77777777" w:rsidR="00A26D0C" w:rsidRPr="00A26D0C" w:rsidRDefault="00A26D0C" w:rsidP="00A26D0C">
      <w:pPr>
        <w:pBdr>
          <w:bottom w:val="single" w:sz="4" w:space="0" w:color="auto"/>
        </w:pBdr>
        <w:tabs>
          <w:tab w:val="left" w:pos="1701"/>
        </w:tabs>
        <w:spacing w:after="0"/>
        <w:rPr>
          <w:rFonts w:ascii="Times New Roman" w:eastAsia="Calibri" w:hAnsi="Times New Roman" w:cs="Times New Roman"/>
          <w:b/>
          <w:bCs/>
          <w:sz w:val="24"/>
          <w:szCs w:val="24"/>
          <w:lang w:eastAsia="en-US"/>
        </w:rPr>
      </w:pPr>
    </w:p>
    <w:p w14:paraId="1924104B" w14:textId="77777777" w:rsidR="00A26D0C" w:rsidRPr="00A26D0C" w:rsidRDefault="00A26D0C" w:rsidP="00A26D0C">
      <w:pPr>
        <w:numPr>
          <w:ilvl w:val="0"/>
          <w:numId w:val="43"/>
        </w:numPr>
        <w:tabs>
          <w:tab w:val="left" w:pos="1134"/>
        </w:tabs>
        <w:spacing w:after="240"/>
        <w:ind w:left="0" w:firstLine="709"/>
        <w:contextualSpacing/>
        <w:jc w:val="both"/>
        <w:rPr>
          <w:rFonts w:ascii="Times New Roman" w:eastAsia="Calibri" w:hAnsi="Times New Roman" w:cs="Times New Roman"/>
          <w:sz w:val="24"/>
          <w:szCs w:val="24"/>
          <w:lang w:eastAsia="en-US"/>
        </w:rPr>
      </w:pPr>
      <w:r w:rsidRPr="00A26D0C">
        <w:rPr>
          <w:rFonts w:ascii="Times New Roman" w:eastAsia="Calibri" w:hAnsi="Times New Roman" w:cs="Times New Roman"/>
          <w:sz w:val="24"/>
          <w:szCs w:val="24"/>
          <w:lang w:eastAsia="en-US"/>
        </w:rPr>
        <w:t>Vertinimo paslaugų teikėjo iniciatyva galima įtraukti papildomų klausimų, padėsiančių pagerinti vertinimo naudą ir kokybę. Papildomų klausimų įtraukimas galimas tik suderinus juos su Užsakovu.</w:t>
      </w:r>
    </w:p>
    <w:p w14:paraId="1791D721" w14:textId="77777777" w:rsidR="00A26D0C" w:rsidRPr="00A26D0C" w:rsidRDefault="00A26D0C" w:rsidP="00A26D0C">
      <w:pPr>
        <w:numPr>
          <w:ilvl w:val="0"/>
          <w:numId w:val="43"/>
        </w:numPr>
        <w:tabs>
          <w:tab w:val="left" w:pos="1134"/>
        </w:tabs>
        <w:spacing w:after="240"/>
        <w:ind w:left="0" w:firstLine="709"/>
        <w:contextualSpacing/>
        <w:jc w:val="both"/>
        <w:rPr>
          <w:rFonts w:ascii="Times New Roman" w:eastAsia="Calibri" w:hAnsi="Times New Roman" w:cs="Times New Roman"/>
          <w:sz w:val="24"/>
          <w:szCs w:val="24"/>
          <w:lang w:eastAsia="en-US"/>
        </w:rPr>
      </w:pPr>
      <w:r w:rsidRPr="00A26D0C">
        <w:rPr>
          <w:rFonts w:ascii="Times New Roman" w:eastAsia="Calibri" w:hAnsi="Times New Roman" w:cs="Times New Roman"/>
          <w:sz w:val="24"/>
          <w:szCs w:val="24"/>
          <w:lang w:eastAsia="en-US"/>
        </w:rPr>
        <w:t xml:space="preserve">Apibendrinus surinktus duomenis ir atsakymus į vertinimo klausimus, galutinėje Vertinimo ataskaitoje vertinimo paslaugų teikėjas turi pateikti konkrečias išvadas ir pagrįstas rekomendacijas. Šios išvados turi būti išsamios, nuoseklios ir aiškios </w:t>
      </w:r>
      <w:r w:rsidRPr="00A26D0C">
        <w:rPr>
          <w:rFonts w:ascii="Times New Roman" w:eastAsia="Times New Roman" w:hAnsi="Times New Roman" w:cs="Times New Roman"/>
          <w:sz w:val="24"/>
          <w:szCs w:val="24"/>
          <w:lang w:eastAsia="en-US"/>
        </w:rPr>
        <w:t>(t. y. apimančios visus vertinimo uždaviniuose ir vertinimo klausimuose nurodytus aspektus, neprieštaraujančios vertinimo metu gautiems ir surinktiems duomenims bei informacijai ir atliktos analizės rezultatams, pateikiamos pagal vertinimo uždavinių ir klausimų seką)</w:t>
      </w:r>
      <w:r w:rsidRPr="00A26D0C">
        <w:rPr>
          <w:rFonts w:ascii="Times New Roman" w:eastAsia="Calibri" w:hAnsi="Times New Roman" w:cs="Times New Roman"/>
          <w:sz w:val="24"/>
          <w:szCs w:val="24"/>
          <w:lang w:eastAsia="en-US"/>
        </w:rPr>
        <w:t>, o rekomendacijos – įgyvendinamos, aktualios ir veiksmingos (t. y. tiesiogiai susijusios su nustatytomis problemomis ir paremtos atliktos analizės rezultatais).</w:t>
      </w:r>
    </w:p>
    <w:p w14:paraId="50F6C436" w14:textId="77777777" w:rsidR="00A26D0C" w:rsidRPr="00A26D0C" w:rsidRDefault="00A26D0C" w:rsidP="00A26D0C">
      <w:pPr>
        <w:tabs>
          <w:tab w:val="left" w:pos="709"/>
          <w:tab w:val="left" w:pos="993"/>
        </w:tabs>
        <w:spacing w:after="0"/>
        <w:ind w:left="709"/>
        <w:jc w:val="center"/>
        <w:rPr>
          <w:rFonts w:ascii="Times New Roman" w:eastAsia="Calibri" w:hAnsi="Times New Roman" w:cs="Times New Roman"/>
          <w:b/>
          <w:bCs/>
          <w:sz w:val="24"/>
          <w:szCs w:val="24"/>
          <w:lang w:eastAsia="en-US"/>
        </w:rPr>
      </w:pPr>
      <w:r w:rsidRPr="00A26D0C">
        <w:rPr>
          <w:rFonts w:ascii="Times New Roman" w:eastAsia="Calibri" w:hAnsi="Times New Roman" w:cs="Times New Roman"/>
          <w:b/>
          <w:bCs/>
          <w:sz w:val="24"/>
          <w:szCs w:val="24"/>
          <w:lang w:eastAsia="en-US"/>
        </w:rPr>
        <w:t>IV. VERTINIMO METODIKA</w:t>
      </w:r>
    </w:p>
    <w:p w14:paraId="25D22070" w14:textId="77777777" w:rsidR="00A26D0C" w:rsidRPr="00A26D0C" w:rsidRDefault="00A26D0C" w:rsidP="006D6B2B">
      <w:pPr>
        <w:numPr>
          <w:ilvl w:val="0"/>
          <w:numId w:val="43"/>
        </w:numPr>
        <w:tabs>
          <w:tab w:val="left" w:pos="1134"/>
        </w:tabs>
        <w:spacing w:after="0"/>
        <w:ind w:left="0" w:firstLine="709"/>
        <w:contextualSpacing/>
        <w:jc w:val="both"/>
        <w:rPr>
          <w:rFonts w:ascii="Times New Roman" w:eastAsia="Calibri" w:hAnsi="Times New Roman" w:cs="Times New Roman"/>
          <w:sz w:val="24"/>
          <w:szCs w:val="24"/>
          <w:lang w:eastAsia="en-US"/>
        </w:rPr>
      </w:pPr>
      <w:r w:rsidRPr="00A26D0C">
        <w:rPr>
          <w:rFonts w:ascii="Times New Roman" w:eastAsia="Calibri" w:hAnsi="Times New Roman" w:cs="Times New Roman"/>
          <w:sz w:val="24"/>
          <w:szCs w:val="24"/>
          <w:lang w:eastAsia="en-US"/>
        </w:rPr>
        <w:t xml:space="preserve">Atliekant Vertinimą turi būti vadovaujamasi BŽŪP strateginių planų Veiklos rezultatų stebėsenos ir vertinimo sistema (RSVS, angl. PMEF). Vertinimo paslaugų teikėjas turi remtis aktualiais konteksto, produkto, rezultato, poveikio ir papildomais vertintojų parinktais duomenimis bei rodikliais. Vertinimo paslaugų teikėjas rengdamas šio Vertinimo metodiką ir vykdydamas uždavinius, turės išnagrinėti ir atsižvelgti į aktualias Europos Komisijos ir (ar) įvairių jos tarnybų metodines gaires, rekomendacijas, kitą aktualią informaciją. </w:t>
      </w:r>
    </w:p>
    <w:p w14:paraId="093333D8" w14:textId="77777777" w:rsidR="00A26D0C" w:rsidRPr="00A26D0C" w:rsidRDefault="00A26D0C" w:rsidP="006D6B2B">
      <w:pPr>
        <w:numPr>
          <w:ilvl w:val="0"/>
          <w:numId w:val="43"/>
        </w:numPr>
        <w:tabs>
          <w:tab w:val="left" w:pos="1134"/>
        </w:tabs>
        <w:spacing w:after="0"/>
        <w:ind w:left="0" w:firstLine="709"/>
        <w:contextualSpacing/>
        <w:jc w:val="both"/>
        <w:rPr>
          <w:rFonts w:ascii="Times New Roman" w:eastAsia="Calibri" w:hAnsi="Times New Roman" w:cs="Times New Roman"/>
          <w:sz w:val="24"/>
          <w:szCs w:val="24"/>
          <w:lang w:eastAsia="en-US"/>
        </w:rPr>
      </w:pPr>
      <w:r w:rsidRPr="00A26D0C">
        <w:rPr>
          <w:rFonts w:ascii="Times New Roman" w:eastAsia="Calibri" w:hAnsi="Times New Roman" w:cs="Times New Roman"/>
          <w:sz w:val="24"/>
          <w:szCs w:val="24"/>
          <w:lang w:eastAsia="en-US"/>
        </w:rPr>
        <w:t xml:space="preserve">Vertinimas bus grindžiamas teorija grįsto vertinimo principu, siekiant nuosekliai įvertinti priežastinius ryšius tarp intervencijų, jų įgyvendinimo mechanizmų ir pasiektų rezultatų. Vertinimas gali apimti įvairius metodus ir jų derinius, įskaitant intervencijų logikos analizę, ŽŪŽIS veiklų rezultatų ir veiksmingumo analizę, inovacijų poveikio vertinimą, ekspertų, tikslinių grupių interviu, dokumentų ir statistinių duomenų analizę, interviu su suinteresuotais subjektais, tikslinių grupių apklausas, atvejo studijas bei kitus kokybinius ir kiekybinius tyrimo metodus. </w:t>
      </w:r>
    </w:p>
    <w:p w14:paraId="0C58A011" w14:textId="77777777" w:rsidR="00A26D0C" w:rsidRPr="00A26D0C" w:rsidRDefault="00A26D0C" w:rsidP="006D6B2B">
      <w:pPr>
        <w:numPr>
          <w:ilvl w:val="0"/>
          <w:numId w:val="43"/>
        </w:numPr>
        <w:tabs>
          <w:tab w:val="left" w:pos="1134"/>
        </w:tabs>
        <w:spacing w:after="0"/>
        <w:ind w:left="0" w:firstLine="709"/>
        <w:contextualSpacing/>
        <w:jc w:val="both"/>
        <w:rPr>
          <w:rFonts w:ascii="Times New Roman" w:eastAsia="Calibri" w:hAnsi="Times New Roman" w:cs="Times New Roman"/>
          <w:sz w:val="24"/>
          <w:szCs w:val="24"/>
          <w:lang w:eastAsia="en-US"/>
        </w:rPr>
      </w:pPr>
      <w:r w:rsidRPr="00A26D0C">
        <w:rPr>
          <w:rFonts w:ascii="Times New Roman" w:eastAsia="Calibri" w:hAnsi="Times New Roman" w:cs="Times New Roman"/>
          <w:sz w:val="24"/>
          <w:szCs w:val="24"/>
          <w:lang w:eastAsia="en-US"/>
        </w:rPr>
        <w:t xml:space="preserve">Pasirinkti vertinimo metodai turi būti pagrįsti, o atliekant vertinimą naudojami duomenys turi būti gauti iš patikimų šaltinių derinant kokybinius ir kiekybinius metodus. Vertinimo paslaugų </w:t>
      </w:r>
      <w:r w:rsidRPr="00A26D0C">
        <w:rPr>
          <w:rFonts w:ascii="Times New Roman" w:eastAsia="Calibri" w:hAnsi="Times New Roman" w:cs="Times New Roman"/>
          <w:sz w:val="24"/>
          <w:szCs w:val="24"/>
          <w:lang w:eastAsia="en-US"/>
        </w:rPr>
        <w:lastRenderedPageBreak/>
        <w:t>teikėjas turės naudotis SP ir susijusiais dokumentais, kitais viešais, institucijų teikiamais ar pačių vertintojų surinktais informacijos šaltiniais, užtikrinant duomenų tinkamumą ir patikimumą.</w:t>
      </w:r>
    </w:p>
    <w:p w14:paraId="3F01614D" w14:textId="77777777" w:rsidR="00A26D0C" w:rsidRPr="00A26D0C" w:rsidRDefault="00A26D0C" w:rsidP="0029712E">
      <w:pPr>
        <w:numPr>
          <w:ilvl w:val="0"/>
          <w:numId w:val="43"/>
        </w:numPr>
        <w:tabs>
          <w:tab w:val="left" w:pos="1134"/>
        </w:tabs>
        <w:spacing w:after="0"/>
        <w:ind w:left="0" w:firstLine="709"/>
        <w:contextualSpacing/>
        <w:jc w:val="both"/>
        <w:rPr>
          <w:rFonts w:ascii="Times New Roman" w:eastAsia="Calibri" w:hAnsi="Times New Roman" w:cs="Times New Roman"/>
          <w:sz w:val="24"/>
          <w:szCs w:val="24"/>
          <w:lang w:eastAsia="en-US"/>
        </w:rPr>
      </w:pPr>
      <w:r w:rsidRPr="00A26D0C">
        <w:rPr>
          <w:rFonts w:ascii="Times New Roman" w:eastAsia="Calibri" w:hAnsi="Times New Roman" w:cs="Times New Roman"/>
          <w:sz w:val="24"/>
          <w:szCs w:val="24"/>
          <w:lang w:eastAsia="en-US"/>
        </w:rPr>
        <w:t xml:space="preserve">Užsakovas užtikrins, kad vertinimo paslaugų teikėjui būtų prieinama visa jos ir jai pavaldžių institucijų ar įstaigų turima (viešinama) informacija, duomenys ir dokumentai, reikalingi vertinimui atlikti. Atsižvelgiant į tai, kad informacija apie renkamus iš pareiškėjų ir paramos gavėjų duomenis yra viešai prieinama (nurodoma SP priemonių paramos paraiškų formose), vertinimo paslaugų teikėjas turi iš anksto, t. y. rengiant įvadinę ataskaitą, įvertinti, įskaitant ribojimus dėl BDAR reikalavimų, ir parengti vertinimui reikalingų SP stebėsenos duomenų sąrašus. Taip pat vertinimui atlikti turi būti naudojami viešai prieinami arba gaunami / perkami antriniai šaltiniai ir vertintojų surinkti duomenys, taikant įvairius duomenų rinkimo būdus. Ministerija gali tarpininkauti gaunant duomenis iš kitų valstybės institucijų, jei būtų išsakytas toks poreikis, tačiau negali iš anksto garantuoti, kad prašomi duomenys bus pateikti. </w:t>
      </w:r>
    </w:p>
    <w:p w14:paraId="32FE987F" w14:textId="77777777" w:rsidR="00A26D0C" w:rsidRPr="00A26D0C" w:rsidRDefault="00A26D0C" w:rsidP="0029712E">
      <w:pPr>
        <w:numPr>
          <w:ilvl w:val="0"/>
          <w:numId w:val="43"/>
        </w:numPr>
        <w:tabs>
          <w:tab w:val="left" w:pos="1134"/>
        </w:tabs>
        <w:spacing w:before="240" w:after="0"/>
        <w:ind w:left="0" w:firstLine="709"/>
        <w:contextualSpacing/>
        <w:jc w:val="both"/>
        <w:rPr>
          <w:rFonts w:ascii="Times New Roman" w:eastAsia="Calibri" w:hAnsi="Times New Roman" w:cs="Times New Roman"/>
          <w:sz w:val="24"/>
          <w:szCs w:val="24"/>
          <w:lang w:eastAsia="en-US"/>
        </w:rPr>
      </w:pPr>
      <w:r w:rsidRPr="00A26D0C">
        <w:rPr>
          <w:rFonts w:ascii="Times New Roman" w:eastAsia="Calibri" w:hAnsi="Times New Roman" w:cs="Times New Roman"/>
          <w:sz w:val="24"/>
          <w:szCs w:val="24"/>
          <w:lang w:eastAsia="en-US"/>
        </w:rPr>
        <w:t>Vertinimo paslaugų teikėjas yra atsakingas už duomenų šaltinių numatymą, galimas duomenų spragas ir rizikų, susijusių su jų užpildymu, valdymą.</w:t>
      </w:r>
    </w:p>
    <w:p w14:paraId="6C2D0B96" w14:textId="77777777" w:rsidR="00A26D0C" w:rsidRPr="00A26D0C" w:rsidRDefault="00A26D0C" w:rsidP="0029712E">
      <w:pPr>
        <w:numPr>
          <w:ilvl w:val="0"/>
          <w:numId w:val="43"/>
        </w:numPr>
        <w:tabs>
          <w:tab w:val="left" w:pos="1134"/>
        </w:tabs>
        <w:spacing w:before="240" w:after="0"/>
        <w:ind w:left="0" w:firstLine="709"/>
        <w:contextualSpacing/>
        <w:jc w:val="both"/>
        <w:rPr>
          <w:rFonts w:ascii="Times New Roman" w:eastAsia="Calibri" w:hAnsi="Times New Roman" w:cs="Times New Roman"/>
          <w:sz w:val="24"/>
          <w:szCs w:val="24"/>
          <w:lang w:eastAsia="en-US"/>
        </w:rPr>
      </w:pPr>
      <w:r w:rsidRPr="00A26D0C">
        <w:rPr>
          <w:rFonts w:ascii="Times New Roman" w:eastAsia="Calibri" w:hAnsi="Times New Roman" w:cs="Times New Roman"/>
          <w:sz w:val="24"/>
          <w:szCs w:val="24"/>
          <w:lang w:eastAsia="en-US"/>
        </w:rPr>
        <w:t xml:space="preserve">Jeigu vertinimo paslaugų teikėjas vertinimo procese naudoja dirbtinio intelekto (DI) priemones, tai privalo būti aiškiai ir išsamiai deklaruota Vertinimo metodologijos aprašyme arba pateikta atskirame priede (pateikiant galutinę vertinimo ataskaitą ir nurodant tiksliai kokia DI priemonė ar modelis buvo naudotas, konkreti užduotis ar procesas, kuriam DI priemonė buvo pritaikyta, taip pat pateiktas rašytinis vertintojo patvirtinimas, kad naudojant DI priemones nebuvo pažeisti duomenų apsaugos ir konfidencialumo reikalavimai, o jautri vertinimo informacija nebuvo įkelta į išorines, nevaldomas DI sistemas). Ši prievolė taikoma bet kokiam DI priemonių panaudojimui, nepriklausomai nuo jo masto ar įtakos vertinimo rezultatams. </w:t>
      </w:r>
    </w:p>
    <w:p w14:paraId="17227653" w14:textId="77777777" w:rsidR="00A26D0C" w:rsidRPr="00A26D0C" w:rsidRDefault="00A26D0C" w:rsidP="0029712E">
      <w:pPr>
        <w:numPr>
          <w:ilvl w:val="0"/>
          <w:numId w:val="43"/>
        </w:numPr>
        <w:tabs>
          <w:tab w:val="left" w:pos="1134"/>
        </w:tabs>
        <w:spacing w:before="240" w:after="0"/>
        <w:ind w:left="0" w:firstLine="709"/>
        <w:contextualSpacing/>
        <w:jc w:val="both"/>
        <w:rPr>
          <w:rFonts w:ascii="Times New Roman" w:eastAsia="Calibri" w:hAnsi="Times New Roman" w:cs="Times New Roman"/>
          <w:sz w:val="24"/>
          <w:szCs w:val="24"/>
          <w:lang w:eastAsia="en-US"/>
        </w:rPr>
      </w:pPr>
      <w:r w:rsidRPr="00A26D0C">
        <w:rPr>
          <w:rFonts w:ascii="Times New Roman" w:eastAsia="Calibri" w:hAnsi="Times New Roman" w:cs="Times New Roman"/>
          <w:sz w:val="24"/>
          <w:szCs w:val="24"/>
          <w:lang w:eastAsia="en-US"/>
        </w:rPr>
        <w:t>Vertinimo paslaugų teikėjas, naudodamas DI įrankius, privalo užtikrinti pateikiamų duomenų ir informacijos tikslumą, jų atitikimą faktams, BDAR, konfidencialumo ir intelektinės nuosavybės teisiniams reikalavimams.</w:t>
      </w:r>
    </w:p>
    <w:p w14:paraId="2022194F" w14:textId="77777777" w:rsidR="00A26D0C" w:rsidRPr="00A26D0C" w:rsidRDefault="00A26D0C" w:rsidP="0029712E">
      <w:pPr>
        <w:numPr>
          <w:ilvl w:val="0"/>
          <w:numId w:val="43"/>
        </w:numPr>
        <w:tabs>
          <w:tab w:val="left" w:pos="1134"/>
        </w:tabs>
        <w:spacing w:before="240" w:after="0"/>
        <w:ind w:left="0" w:firstLine="709"/>
        <w:contextualSpacing/>
        <w:jc w:val="both"/>
        <w:rPr>
          <w:rFonts w:ascii="Times New Roman" w:eastAsia="Calibri" w:hAnsi="Times New Roman" w:cs="Times New Roman"/>
          <w:sz w:val="24"/>
          <w:szCs w:val="24"/>
          <w:lang w:eastAsia="en-US"/>
        </w:rPr>
      </w:pPr>
      <w:r w:rsidRPr="00A26D0C">
        <w:rPr>
          <w:rFonts w:ascii="Times New Roman" w:eastAsia="Calibri" w:hAnsi="Times New Roman" w:cs="Times New Roman"/>
          <w:sz w:val="24"/>
          <w:szCs w:val="24"/>
          <w:lang w:eastAsia="en-US"/>
        </w:rPr>
        <w:t>DI priemonėmis generuotas turinys negali būti naudojamas kaip galutinė vertinimo paslaugų teikėjo sutarčiai įgyvendinti paskirtų specialistų analizė ar jos dalis.</w:t>
      </w:r>
    </w:p>
    <w:p w14:paraId="5731A64B" w14:textId="77777777" w:rsidR="00A26D0C" w:rsidRPr="00A26D0C" w:rsidRDefault="00A26D0C" w:rsidP="00A26D0C">
      <w:pPr>
        <w:tabs>
          <w:tab w:val="left" w:pos="1134"/>
        </w:tabs>
        <w:spacing w:after="240"/>
        <w:ind w:left="709"/>
        <w:contextualSpacing/>
        <w:jc w:val="both"/>
        <w:rPr>
          <w:rFonts w:ascii="Times New Roman" w:eastAsia="Calibri" w:hAnsi="Times New Roman" w:cs="Times New Roman"/>
          <w:sz w:val="24"/>
          <w:szCs w:val="24"/>
          <w:lang w:eastAsia="en-US"/>
        </w:rPr>
      </w:pPr>
    </w:p>
    <w:p w14:paraId="26C566BC" w14:textId="77777777" w:rsidR="00A26D0C" w:rsidRPr="00A26D0C" w:rsidRDefault="00A26D0C" w:rsidP="00A26D0C">
      <w:pPr>
        <w:numPr>
          <w:ilvl w:val="0"/>
          <w:numId w:val="42"/>
        </w:numPr>
        <w:tabs>
          <w:tab w:val="left" w:pos="1134"/>
          <w:tab w:val="left" w:pos="1560"/>
        </w:tabs>
        <w:spacing w:after="240"/>
        <w:ind w:hanging="371"/>
        <w:contextualSpacing/>
        <w:jc w:val="center"/>
        <w:rPr>
          <w:rFonts w:ascii="Times New Roman" w:eastAsia="Times New Roman" w:hAnsi="Times New Roman" w:cs="Times New Roman"/>
          <w:b/>
          <w:sz w:val="24"/>
          <w:szCs w:val="24"/>
          <w:lang w:eastAsia="en-US"/>
        </w:rPr>
      </w:pPr>
      <w:r w:rsidRPr="00A26D0C">
        <w:rPr>
          <w:rFonts w:ascii="Times New Roman" w:eastAsia="Times New Roman" w:hAnsi="Times New Roman" w:cs="Times New Roman"/>
          <w:b/>
          <w:sz w:val="24"/>
          <w:szCs w:val="24"/>
          <w:lang w:eastAsia="en-US"/>
        </w:rPr>
        <w:t>VERTINIMO ATLIKIMO PROCESO ORGANIZAVIMAS IR TERMINAI</w:t>
      </w:r>
    </w:p>
    <w:p w14:paraId="7E030BD1" w14:textId="77777777" w:rsidR="00A26D0C" w:rsidRPr="00A26D0C" w:rsidRDefault="00A26D0C" w:rsidP="00A26D0C">
      <w:pPr>
        <w:numPr>
          <w:ilvl w:val="0"/>
          <w:numId w:val="43"/>
        </w:numPr>
        <w:tabs>
          <w:tab w:val="left" w:pos="1134"/>
        </w:tabs>
        <w:overflowPunct w:val="0"/>
        <w:autoSpaceDE w:val="0"/>
        <w:autoSpaceDN w:val="0"/>
        <w:adjustRightInd w:val="0"/>
        <w:spacing w:before="240" w:after="200"/>
        <w:ind w:left="0" w:firstLine="709"/>
        <w:contextualSpacing/>
        <w:jc w:val="both"/>
        <w:textAlignment w:val="baseline"/>
        <w:rPr>
          <w:rFonts w:ascii="Times New Roman" w:eastAsia="Calibri" w:hAnsi="Times New Roman" w:cs="Times New Roman"/>
          <w:sz w:val="24"/>
          <w:szCs w:val="24"/>
          <w:lang w:eastAsia="en-US"/>
        </w:rPr>
      </w:pPr>
      <w:r w:rsidRPr="00A26D0C">
        <w:rPr>
          <w:rFonts w:ascii="Times New Roman" w:eastAsia="Calibri" w:hAnsi="Times New Roman" w:cs="Times New Roman"/>
          <w:sz w:val="24"/>
          <w:szCs w:val="24"/>
          <w:lang w:eastAsia="en-US"/>
        </w:rPr>
        <w:t>Vertinimo paslaugų teikimo trukmė – ne ilgiau kaip 150 k. d. nuo sutarties įsigaliojimo.</w:t>
      </w:r>
    </w:p>
    <w:p w14:paraId="55E942BE" w14:textId="77777777" w:rsidR="00A26D0C" w:rsidRPr="00A26D0C" w:rsidRDefault="00A26D0C" w:rsidP="00A26D0C">
      <w:pPr>
        <w:numPr>
          <w:ilvl w:val="0"/>
          <w:numId w:val="43"/>
        </w:numPr>
        <w:tabs>
          <w:tab w:val="left" w:pos="1134"/>
        </w:tabs>
        <w:overflowPunct w:val="0"/>
        <w:autoSpaceDE w:val="0"/>
        <w:autoSpaceDN w:val="0"/>
        <w:adjustRightInd w:val="0"/>
        <w:spacing w:after="200"/>
        <w:ind w:left="0" w:firstLine="709"/>
        <w:contextualSpacing/>
        <w:jc w:val="both"/>
        <w:textAlignment w:val="baseline"/>
        <w:rPr>
          <w:rFonts w:ascii="Times New Roman" w:eastAsia="Calibri" w:hAnsi="Times New Roman" w:cs="Times New Roman"/>
          <w:sz w:val="24"/>
          <w:szCs w:val="24"/>
          <w:lang w:eastAsia="en-US"/>
        </w:rPr>
      </w:pPr>
      <w:r w:rsidRPr="00A26D0C">
        <w:rPr>
          <w:rFonts w:ascii="Times New Roman" w:eastAsia="Times New Roman" w:hAnsi="Times New Roman" w:cs="Times New Roman"/>
          <w:sz w:val="24"/>
          <w:szCs w:val="24"/>
          <w:lang w:eastAsia="en-US"/>
          <w14:ligatures w14:val="standardContextual"/>
        </w:rPr>
        <w:t>Rezultatai ir terminai, kuriuos turi įvykdyti vertinimo paslaugų teikėjas:</w:t>
      </w:r>
    </w:p>
    <w:tbl>
      <w:tblPr>
        <w:tblStyle w:val="Lentelstinklelis17"/>
        <w:tblW w:w="0" w:type="auto"/>
        <w:tblInd w:w="0" w:type="dxa"/>
        <w:tblLook w:val="04A0" w:firstRow="1" w:lastRow="0" w:firstColumn="1" w:lastColumn="0" w:noHBand="0" w:noVBand="1"/>
      </w:tblPr>
      <w:tblGrid>
        <w:gridCol w:w="1133"/>
        <w:gridCol w:w="2396"/>
        <w:gridCol w:w="4810"/>
        <w:gridCol w:w="1269"/>
      </w:tblGrid>
      <w:tr w:rsidR="00A26D0C" w:rsidRPr="00A26D0C" w14:paraId="59D9E0AC" w14:textId="77777777" w:rsidTr="00A26D0C">
        <w:tc>
          <w:tcPr>
            <w:tcW w:w="1133" w:type="dxa"/>
            <w:tcBorders>
              <w:top w:val="single" w:sz="12" w:space="0" w:color="auto"/>
              <w:left w:val="single" w:sz="12" w:space="0" w:color="auto"/>
              <w:bottom w:val="single" w:sz="12" w:space="0" w:color="auto"/>
            </w:tcBorders>
            <w:shd w:val="clear" w:color="auto" w:fill="F2F2F2"/>
            <w:vAlign w:val="center"/>
          </w:tcPr>
          <w:p w14:paraId="70B24990" w14:textId="77777777" w:rsidR="00A26D0C" w:rsidRPr="00A26D0C" w:rsidRDefault="00A26D0C" w:rsidP="00A26D0C">
            <w:pPr>
              <w:tabs>
                <w:tab w:val="left" w:pos="-2268"/>
                <w:tab w:val="left" w:pos="1134"/>
              </w:tabs>
              <w:overflowPunct w:val="0"/>
              <w:autoSpaceDE w:val="0"/>
              <w:autoSpaceDN w:val="0"/>
              <w:adjustRightInd w:val="0"/>
              <w:contextualSpacing/>
              <w:jc w:val="center"/>
              <w:textAlignment w:val="baseline"/>
              <w:rPr>
                <w:rFonts w:ascii="Times New Roman" w:eastAsia="Calibri" w:hAnsi="Times New Roman"/>
                <w:b/>
                <w:bCs/>
                <w:sz w:val="22"/>
                <w:szCs w:val="22"/>
              </w:rPr>
            </w:pPr>
            <w:r w:rsidRPr="00A26D0C">
              <w:rPr>
                <w:rFonts w:ascii="Times New Roman" w:eastAsia="Calibri" w:hAnsi="Times New Roman"/>
                <w:b/>
                <w:bCs/>
                <w:sz w:val="22"/>
                <w:szCs w:val="22"/>
              </w:rPr>
              <w:t>Etapas</w:t>
            </w:r>
          </w:p>
        </w:tc>
        <w:tc>
          <w:tcPr>
            <w:tcW w:w="2396" w:type="dxa"/>
            <w:tcBorders>
              <w:top w:val="single" w:sz="12" w:space="0" w:color="auto"/>
              <w:bottom w:val="single" w:sz="12" w:space="0" w:color="auto"/>
            </w:tcBorders>
            <w:shd w:val="clear" w:color="auto" w:fill="F2F2F2"/>
            <w:vAlign w:val="center"/>
          </w:tcPr>
          <w:p w14:paraId="02BD11A7" w14:textId="77777777" w:rsidR="00A26D0C" w:rsidRPr="00A26D0C" w:rsidRDefault="00A26D0C" w:rsidP="00A26D0C">
            <w:pPr>
              <w:tabs>
                <w:tab w:val="left" w:pos="-2268"/>
                <w:tab w:val="left" w:pos="1134"/>
              </w:tabs>
              <w:overflowPunct w:val="0"/>
              <w:autoSpaceDE w:val="0"/>
              <w:autoSpaceDN w:val="0"/>
              <w:adjustRightInd w:val="0"/>
              <w:contextualSpacing/>
              <w:jc w:val="center"/>
              <w:textAlignment w:val="baseline"/>
              <w:rPr>
                <w:rFonts w:ascii="Times New Roman" w:eastAsia="Calibri" w:hAnsi="Times New Roman"/>
                <w:b/>
                <w:bCs/>
                <w:sz w:val="22"/>
                <w:szCs w:val="22"/>
              </w:rPr>
            </w:pPr>
            <w:r w:rsidRPr="00A26D0C">
              <w:rPr>
                <w:rFonts w:ascii="Times New Roman" w:eastAsia="Calibri" w:hAnsi="Times New Roman"/>
                <w:b/>
                <w:bCs/>
                <w:sz w:val="22"/>
                <w:szCs w:val="22"/>
              </w:rPr>
              <w:t>Rezultatas</w:t>
            </w:r>
          </w:p>
        </w:tc>
        <w:tc>
          <w:tcPr>
            <w:tcW w:w="4810" w:type="dxa"/>
            <w:tcBorders>
              <w:top w:val="single" w:sz="12" w:space="0" w:color="auto"/>
              <w:bottom w:val="single" w:sz="12" w:space="0" w:color="auto"/>
            </w:tcBorders>
            <w:shd w:val="clear" w:color="auto" w:fill="F2F2F2"/>
            <w:vAlign w:val="center"/>
          </w:tcPr>
          <w:p w14:paraId="2A5ADC5B" w14:textId="77777777" w:rsidR="00A26D0C" w:rsidRPr="00A26D0C" w:rsidRDefault="00A26D0C" w:rsidP="00A26D0C">
            <w:pPr>
              <w:tabs>
                <w:tab w:val="left" w:pos="-2268"/>
                <w:tab w:val="left" w:pos="1134"/>
              </w:tabs>
              <w:overflowPunct w:val="0"/>
              <w:autoSpaceDE w:val="0"/>
              <w:autoSpaceDN w:val="0"/>
              <w:adjustRightInd w:val="0"/>
              <w:contextualSpacing/>
              <w:jc w:val="center"/>
              <w:textAlignment w:val="baseline"/>
              <w:rPr>
                <w:rFonts w:ascii="Times New Roman" w:eastAsia="Calibri" w:hAnsi="Times New Roman"/>
                <w:b/>
                <w:bCs/>
                <w:sz w:val="22"/>
                <w:szCs w:val="22"/>
              </w:rPr>
            </w:pPr>
            <w:r w:rsidRPr="00A26D0C">
              <w:rPr>
                <w:rFonts w:ascii="Times New Roman" w:eastAsia="Calibri" w:hAnsi="Times New Roman"/>
                <w:b/>
                <w:bCs/>
                <w:sz w:val="22"/>
                <w:szCs w:val="22"/>
              </w:rPr>
              <w:t>Terminas</w:t>
            </w:r>
          </w:p>
        </w:tc>
        <w:tc>
          <w:tcPr>
            <w:tcW w:w="1269" w:type="dxa"/>
            <w:tcBorders>
              <w:top w:val="single" w:sz="12" w:space="0" w:color="auto"/>
              <w:bottom w:val="single" w:sz="12" w:space="0" w:color="auto"/>
              <w:right w:val="single" w:sz="12" w:space="0" w:color="auto"/>
            </w:tcBorders>
            <w:shd w:val="clear" w:color="auto" w:fill="F2F2F2"/>
            <w:vAlign w:val="center"/>
          </w:tcPr>
          <w:p w14:paraId="7AC45ABC" w14:textId="77777777" w:rsidR="00A26D0C" w:rsidRPr="00A26D0C" w:rsidRDefault="00A26D0C" w:rsidP="00A26D0C">
            <w:pPr>
              <w:tabs>
                <w:tab w:val="left" w:pos="-2268"/>
                <w:tab w:val="left" w:pos="1134"/>
              </w:tabs>
              <w:overflowPunct w:val="0"/>
              <w:autoSpaceDE w:val="0"/>
              <w:autoSpaceDN w:val="0"/>
              <w:adjustRightInd w:val="0"/>
              <w:contextualSpacing/>
              <w:jc w:val="center"/>
              <w:textAlignment w:val="baseline"/>
              <w:rPr>
                <w:rFonts w:ascii="Times New Roman" w:eastAsia="Calibri" w:hAnsi="Times New Roman"/>
                <w:b/>
                <w:bCs/>
                <w:sz w:val="22"/>
                <w:szCs w:val="22"/>
              </w:rPr>
            </w:pPr>
            <w:r w:rsidRPr="00A26D0C">
              <w:rPr>
                <w:rFonts w:ascii="Times New Roman" w:eastAsia="Calibri" w:hAnsi="Times New Roman"/>
                <w:b/>
                <w:bCs/>
                <w:sz w:val="22"/>
                <w:szCs w:val="22"/>
              </w:rPr>
              <w:t>Atsakingas dalyvis</w:t>
            </w:r>
          </w:p>
        </w:tc>
      </w:tr>
      <w:tr w:rsidR="00A26D0C" w:rsidRPr="00A26D0C" w14:paraId="7A0A85CA" w14:textId="77777777" w:rsidTr="00575222">
        <w:tc>
          <w:tcPr>
            <w:tcW w:w="1133" w:type="dxa"/>
            <w:vMerge w:val="restart"/>
            <w:tcBorders>
              <w:top w:val="single" w:sz="12" w:space="0" w:color="auto"/>
              <w:left w:val="single" w:sz="12" w:space="0" w:color="auto"/>
            </w:tcBorders>
            <w:vAlign w:val="center"/>
          </w:tcPr>
          <w:p w14:paraId="168D026D" w14:textId="77777777" w:rsidR="00A26D0C" w:rsidRPr="00A26D0C" w:rsidRDefault="00A26D0C" w:rsidP="00A26D0C">
            <w:pPr>
              <w:tabs>
                <w:tab w:val="left" w:pos="-2268"/>
                <w:tab w:val="left" w:pos="454"/>
              </w:tabs>
              <w:overflowPunct w:val="0"/>
              <w:autoSpaceDE w:val="0"/>
              <w:autoSpaceDN w:val="0"/>
              <w:adjustRightInd w:val="0"/>
              <w:jc w:val="both"/>
              <w:textAlignment w:val="baseline"/>
              <w:rPr>
                <w:rFonts w:ascii="Times New Roman" w:eastAsia="Calibri" w:hAnsi="Times New Roman"/>
                <w:b/>
                <w:bCs/>
                <w:sz w:val="22"/>
                <w:szCs w:val="22"/>
              </w:rPr>
            </w:pPr>
            <w:r w:rsidRPr="00A26D0C">
              <w:rPr>
                <w:rFonts w:ascii="Times New Roman" w:eastAsia="Calibri" w:hAnsi="Times New Roman"/>
                <w:b/>
                <w:bCs/>
                <w:sz w:val="22"/>
                <w:szCs w:val="22"/>
              </w:rPr>
              <w:t>Įvadinis</w:t>
            </w:r>
          </w:p>
        </w:tc>
        <w:tc>
          <w:tcPr>
            <w:tcW w:w="2396" w:type="dxa"/>
            <w:tcBorders>
              <w:top w:val="single" w:sz="12" w:space="0" w:color="auto"/>
            </w:tcBorders>
            <w:vAlign w:val="center"/>
          </w:tcPr>
          <w:p w14:paraId="3AA2BE34" w14:textId="77777777" w:rsidR="00A26D0C" w:rsidRPr="00A26D0C" w:rsidRDefault="00A26D0C" w:rsidP="00A26D0C">
            <w:pPr>
              <w:numPr>
                <w:ilvl w:val="0"/>
                <w:numId w:val="41"/>
              </w:numPr>
              <w:tabs>
                <w:tab w:val="left" w:pos="-2268"/>
                <w:tab w:val="left" w:pos="307"/>
              </w:tabs>
              <w:overflowPunct w:val="0"/>
              <w:autoSpaceDE w:val="0"/>
              <w:autoSpaceDN w:val="0"/>
              <w:adjustRightInd w:val="0"/>
              <w:ind w:left="23" w:firstLine="0"/>
              <w:contextualSpacing/>
              <w:textAlignment w:val="baseline"/>
              <w:rPr>
                <w:rFonts w:ascii="Times New Roman" w:eastAsia="Calibri" w:hAnsi="Times New Roman"/>
                <w:sz w:val="22"/>
                <w:szCs w:val="22"/>
              </w:rPr>
            </w:pPr>
            <w:r w:rsidRPr="00A26D0C">
              <w:rPr>
                <w:rFonts w:ascii="Times New Roman" w:eastAsia="Calibri" w:hAnsi="Times New Roman"/>
                <w:sz w:val="22"/>
                <w:szCs w:val="22"/>
              </w:rPr>
              <w:t>Įvadinis susitikimas</w:t>
            </w:r>
          </w:p>
        </w:tc>
        <w:tc>
          <w:tcPr>
            <w:tcW w:w="4810" w:type="dxa"/>
            <w:tcBorders>
              <w:top w:val="single" w:sz="12" w:space="0" w:color="auto"/>
            </w:tcBorders>
            <w:vAlign w:val="center"/>
          </w:tcPr>
          <w:p w14:paraId="1067A9FC" w14:textId="77777777" w:rsidR="00A26D0C" w:rsidRPr="00A26D0C" w:rsidRDefault="00A26D0C" w:rsidP="00A26D0C">
            <w:pPr>
              <w:tabs>
                <w:tab w:val="left" w:pos="-2268"/>
                <w:tab w:val="left" w:pos="1134"/>
              </w:tabs>
              <w:overflowPunct w:val="0"/>
              <w:autoSpaceDE w:val="0"/>
              <w:autoSpaceDN w:val="0"/>
              <w:adjustRightInd w:val="0"/>
              <w:contextualSpacing/>
              <w:jc w:val="both"/>
              <w:textAlignment w:val="baseline"/>
              <w:rPr>
                <w:rFonts w:ascii="Times New Roman" w:eastAsia="Calibri" w:hAnsi="Times New Roman"/>
                <w:sz w:val="22"/>
                <w:szCs w:val="22"/>
              </w:rPr>
            </w:pPr>
            <w:r w:rsidRPr="00A26D0C">
              <w:rPr>
                <w:rFonts w:ascii="Times New Roman" w:eastAsia="Calibri" w:hAnsi="Times New Roman"/>
                <w:sz w:val="22"/>
                <w:szCs w:val="22"/>
              </w:rPr>
              <w:t>Ne vėliau kaip per 14 k. d. nuo sutarties įsigaliojimo dienos</w:t>
            </w:r>
          </w:p>
        </w:tc>
        <w:tc>
          <w:tcPr>
            <w:tcW w:w="1269" w:type="dxa"/>
            <w:vMerge w:val="restart"/>
            <w:tcBorders>
              <w:top w:val="single" w:sz="12" w:space="0" w:color="auto"/>
              <w:right w:val="single" w:sz="12" w:space="0" w:color="auto"/>
            </w:tcBorders>
            <w:vAlign w:val="center"/>
          </w:tcPr>
          <w:p w14:paraId="73F0DAE5" w14:textId="77777777" w:rsidR="00A26D0C" w:rsidRPr="00A26D0C" w:rsidRDefault="00A26D0C" w:rsidP="00A26D0C">
            <w:pPr>
              <w:tabs>
                <w:tab w:val="left" w:pos="1134"/>
              </w:tabs>
              <w:overflowPunct w:val="0"/>
              <w:autoSpaceDE w:val="0"/>
              <w:autoSpaceDN w:val="0"/>
              <w:adjustRightInd w:val="0"/>
              <w:contextualSpacing/>
              <w:jc w:val="center"/>
              <w:textAlignment w:val="baseline"/>
              <w:rPr>
                <w:rFonts w:ascii="Times New Roman" w:eastAsia="Calibri" w:hAnsi="Times New Roman"/>
                <w:sz w:val="22"/>
                <w:szCs w:val="22"/>
              </w:rPr>
            </w:pPr>
            <w:r w:rsidRPr="00A26D0C">
              <w:rPr>
                <w:rFonts w:ascii="Times New Roman" w:eastAsia="Calibri" w:hAnsi="Times New Roman"/>
                <w:sz w:val="22"/>
                <w:szCs w:val="22"/>
              </w:rPr>
              <w:t>Vertinimo paslaugų teikėjas</w:t>
            </w:r>
          </w:p>
        </w:tc>
      </w:tr>
      <w:tr w:rsidR="00A26D0C" w:rsidRPr="00A26D0C" w14:paraId="1DAA8646" w14:textId="77777777" w:rsidTr="00575222">
        <w:tc>
          <w:tcPr>
            <w:tcW w:w="1133" w:type="dxa"/>
            <w:vMerge/>
            <w:tcBorders>
              <w:left w:val="single" w:sz="12" w:space="0" w:color="auto"/>
            </w:tcBorders>
            <w:vAlign w:val="center"/>
          </w:tcPr>
          <w:p w14:paraId="00BB874E" w14:textId="77777777" w:rsidR="00A26D0C" w:rsidRPr="00A26D0C" w:rsidRDefault="00A26D0C" w:rsidP="00A26D0C">
            <w:pPr>
              <w:tabs>
                <w:tab w:val="left" w:pos="-2268"/>
                <w:tab w:val="left" w:pos="454"/>
              </w:tabs>
              <w:overflowPunct w:val="0"/>
              <w:autoSpaceDE w:val="0"/>
              <w:autoSpaceDN w:val="0"/>
              <w:adjustRightInd w:val="0"/>
              <w:ind w:left="389"/>
              <w:jc w:val="both"/>
              <w:textAlignment w:val="baseline"/>
              <w:rPr>
                <w:rFonts w:ascii="Times New Roman" w:eastAsia="Calibri" w:hAnsi="Times New Roman"/>
                <w:b/>
                <w:bCs/>
                <w:sz w:val="22"/>
                <w:szCs w:val="22"/>
              </w:rPr>
            </w:pPr>
          </w:p>
        </w:tc>
        <w:tc>
          <w:tcPr>
            <w:tcW w:w="2396" w:type="dxa"/>
            <w:vAlign w:val="center"/>
          </w:tcPr>
          <w:p w14:paraId="3542649F" w14:textId="77777777" w:rsidR="00A26D0C" w:rsidRPr="00A26D0C" w:rsidRDefault="00A26D0C" w:rsidP="00A26D0C">
            <w:pPr>
              <w:numPr>
                <w:ilvl w:val="0"/>
                <w:numId w:val="41"/>
              </w:numPr>
              <w:tabs>
                <w:tab w:val="left" w:pos="-2268"/>
                <w:tab w:val="left" w:pos="307"/>
              </w:tabs>
              <w:overflowPunct w:val="0"/>
              <w:autoSpaceDE w:val="0"/>
              <w:autoSpaceDN w:val="0"/>
              <w:adjustRightInd w:val="0"/>
              <w:ind w:left="23" w:firstLine="0"/>
              <w:contextualSpacing/>
              <w:textAlignment w:val="baseline"/>
              <w:rPr>
                <w:rFonts w:ascii="Times New Roman" w:eastAsia="Aptos" w:hAnsi="Times New Roman"/>
                <w:sz w:val="22"/>
                <w:szCs w:val="22"/>
                <w14:ligatures w14:val="standardContextual"/>
              </w:rPr>
            </w:pPr>
            <w:r w:rsidRPr="00A26D0C">
              <w:rPr>
                <w:rFonts w:ascii="Times New Roman" w:eastAsia="Aptos" w:hAnsi="Times New Roman"/>
                <w:sz w:val="22"/>
                <w:szCs w:val="22"/>
                <w14:ligatures w14:val="standardContextual"/>
              </w:rPr>
              <w:t>Įvadinė vertinimo ataskaita</w:t>
            </w:r>
          </w:p>
        </w:tc>
        <w:tc>
          <w:tcPr>
            <w:tcW w:w="4810" w:type="dxa"/>
            <w:vAlign w:val="center"/>
          </w:tcPr>
          <w:p w14:paraId="4F1B04D3" w14:textId="77777777" w:rsidR="00A26D0C" w:rsidRPr="00A26D0C" w:rsidRDefault="00A26D0C" w:rsidP="00A26D0C">
            <w:pPr>
              <w:tabs>
                <w:tab w:val="left" w:pos="-2268"/>
                <w:tab w:val="left" w:pos="1134"/>
              </w:tabs>
              <w:overflowPunct w:val="0"/>
              <w:autoSpaceDE w:val="0"/>
              <w:autoSpaceDN w:val="0"/>
              <w:adjustRightInd w:val="0"/>
              <w:contextualSpacing/>
              <w:jc w:val="both"/>
              <w:textAlignment w:val="baseline"/>
              <w:rPr>
                <w:rFonts w:ascii="Times New Roman" w:eastAsia="Calibri" w:hAnsi="Times New Roman"/>
                <w:sz w:val="22"/>
                <w:szCs w:val="22"/>
              </w:rPr>
            </w:pPr>
            <w:r w:rsidRPr="00A26D0C">
              <w:rPr>
                <w:rFonts w:ascii="Times New Roman" w:eastAsia="Calibri" w:hAnsi="Times New Roman"/>
                <w:sz w:val="22"/>
                <w:szCs w:val="22"/>
              </w:rPr>
              <w:t>Ne vėliau kaip per</w:t>
            </w:r>
            <w:r w:rsidRPr="00A26D0C">
              <w:rPr>
                <w:rFonts w:ascii="Times New Roman" w:eastAsia="Aptos" w:hAnsi="Times New Roman"/>
                <w:sz w:val="22"/>
                <w:szCs w:val="22"/>
                <w14:ligatures w14:val="standardContextual"/>
              </w:rPr>
              <w:t xml:space="preserve"> 30 k. d. nuo sutarties </w:t>
            </w:r>
            <w:r w:rsidRPr="00A26D0C">
              <w:rPr>
                <w:rFonts w:ascii="Times New Roman" w:eastAsia="Calibri" w:hAnsi="Times New Roman"/>
                <w:sz w:val="22"/>
                <w:szCs w:val="22"/>
              </w:rPr>
              <w:t>įsigaliojimo dienos</w:t>
            </w:r>
          </w:p>
        </w:tc>
        <w:tc>
          <w:tcPr>
            <w:tcW w:w="1269" w:type="dxa"/>
            <w:vMerge/>
            <w:tcBorders>
              <w:right w:val="single" w:sz="12" w:space="0" w:color="auto"/>
            </w:tcBorders>
            <w:vAlign w:val="center"/>
          </w:tcPr>
          <w:p w14:paraId="5A94E88E" w14:textId="77777777" w:rsidR="00A26D0C" w:rsidRPr="00A26D0C" w:rsidRDefault="00A26D0C" w:rsidP="00A26D0C">
            <w:pPr>
              <w:tabs>
                <w:tab w:val="left" w:pos="-2268"/>
                <w:tab w:val="left" w:pos="1134"/>
              </w:tabs>
              <w:overflowPunct w:val="0"/>
              <w:autoSpaceDE w:val="0"/>
              <w:autoSpaceDN w:val="0"/>
              <w:adjustRightInd w:val="0"/>
              <w:contextualSpacing/>
              <w:jc w:val="center"/>
              <w:textAlignment w:val="baseline"/>
              <w:rPr>
                <w:rFonts w:ascii="Times New Roman" w:eastAsia="Aptos" w:hAnsi="Times New Roman"/>
                <w:sz w:val="22"/>
                <w:szCs w:val="22"/>
                <w14:ligatures w14:val="standardContextual"/>
              </w:rPr>
            </w:pPr>
          </w:p>
        </w:tc>
      </w:tr>
      <w:tr w:rsidR="00A26D0C" w:rsidRPr="00A26D0C" w14:paraId="306C39E5" w14:textId="77777777" w:rsidTr="00A26D0C">
        <w:tc>
          <w:tcPr>
            <w:tcW w:w="1133" w:type="dxa"/>
            <w:vMerge/>
            <w:tcBorders>
              <w:left w:val="single" w:sz="12" w:space="0" w:color="auto"/>
              <w:bottom w:val="single" w:sz="12" w:space="0" w:color="auto"/>
            </w:tcBorders>
            <w:vAlign w:val="center"/>
          </w:tcPr>
          <w:p w14:paraId="31EDFA7B" w14:textId="77777777" w:rsidR="00A26D0C" w:rsidRPr="00A26D0C" w:rsidRDefault="00A26D0C" w:rsidP="00A26D0C">
            <w:pPr>
              <w:tabs>
                <w:tab w:val="left" w:pos="-2268"/>
                <w:tab w:val="left" w:pos="454"/>
              </w:tabs>
              <w:overflowPunct w:val="0"/>
              <w:autoSpaceDE w:val="0"/>
              <w:autoSpaceDN w:val="0"/>
              <w:adjustRightInd w:val="0"/>
              <w:ind w:left="389"/>
              <w:jc w:val="both"/>
              <w:textAlignment w:val="baseline"/>
              <w:rPr>
                <w:rFonts w:ascii="Times New Roman" w:eastAsia="Calibri" w:hAnsi="Times New Roman"/>
                <w:b/>
                <w:bCs/>
                <w:sz w:val="22"/>
                <w:szCs w:val="22"/>
              </w:rPr>
            </w:pPr>
          </w:p>
        </w:tc>
        <w:tc>
          <w:tcPr>
            <w:tcW w:w="2396" w:type="dxa"/>
            <w:tcBorders>
              <w:bottom w:val="single" w:sz="12" w:space="0" w:color="auto"/>
            </w:tcBorders>
            <w:shd w:val="clear" w:color="auto" w:fill="F2F2F2"/>
            <w:vAlign w:val="center"/>
          </w:tcPr>
          <w:p w14:paraId="11AF0C5D" w14:textId="77777777" w:rsidR="00A26D0C" w:rsidRPr="00A26D0C" w:rsidRDefault="00A26D0C" w:rsidP="00A26D0C">
            <w:pPr>
              <w:numPr>
                <w:ilvl w:val="0"/>
                <w:numId w:val="41"/>
              </w:numPr>
              <w:tabs>
                <w:tab w:val="left" w:pos="-2268"/>
                <w:tab w:val="left" w:pos="307"/>
              </w:tabs>
              <w:overflowPunct w:val="0"/>
              <w:autoSpaceDE w:val="0"/>
              <w:autoSpaceDN w:val="0"/>
              <w:adjustRightInd w:val="0"/>
              <w:ind w:left="23" w:firstLine="0"/>
              <w:contextualSpacing/>
              <w:textAlignment w:val="baseline"/>
              <w:rPr>
                <w:rFonts w:ascii="Times New Roman" w:eastAsia="Aptos" w:hAnsi="Times New Roman"/>
                <w:sz w:val="22"/>
                <w:szCs w:val="22"/>
                <w14:ligatures w14:val="standardContextual"/>
              </w:rPr>
            </w:pPr>
            <w:r w:rsidRPr="00A26D0C">
              <w:rPr>
                <w:rFonts w:ascii="Times New Roman" w:eastAsia="Aptos" w:hAnsi="Times New Roman"/>
                <w:sz w:val="22"/>
                <w:szCs w:val="22"/>
                <w14:ligatures w14:val="standardContextual"/>
              </w:rPr>
              <w:t>Pastabų teikimas</w:t>
            </w:r>
          </w:p>
        </w:tc>
        <w:tc>
          <w:tcPr>
            <w:tcW w:w="4810" w:type="dxa"/>
            <w:tcBorders>
              <w:bottom w:val="single" w:sz="12" w:space="0" w:color="auto"/>
            </w:tcBorders>
            <w:shd w:val="clear" w:color="auto" w:fill="F2F2F2"/>
            <w:vAlign w:val="center"/>
          </w:tcPr>
          <w:p w14:paraId="037A10CC" w14:textId="77777777" w:rsidR="00A26D0C" w:rsidRPr="00A26D0C" w:rsidRDefault="00A26D0C" w:rsidP="00A26D0C">
            <w:pPr>
              <w:tabs>
                <w:tab w:val="left" w:pos="-2268"/>
                <w:tab w:val="left" w:pos="1134"/>
              </w:tabs>
              <w:overflowPunct w:val="0"/>
              <w:autoSpaceDE w:val="0"/>
              <w:autoSpaceDN w:val="0"/>
              <w:adjustRightInd w:val="0"/>
              <w:contextualSpacing/>
              <w:jc w:val="both"/>
              <w:textAlignment w:val="baseline"/>
              <w:rPr>
                <w:rFonts w:ascii="Times New Roman" w:eastAsia="Aptos" w:hAnsi="Times New Roman"/>
                <w:sz w:val="22"/>
                <w:szCs w:val="22"/>
                <w14:ligatures w14:val="standardContextual"/>
              </w:rPr>
            </w:pPr>
            <w:r w:rsidRPr="00A26D0C">
              <w:rPr>
                <w:rFonts w:ascii="Times New Roman" w:eastAsia="Calibri" w:hAnsi="Times New Roman"/>
                <w:sz w:val="22"/>
                <w:szCs w:val="22"/>
              </w:rPr>
              <w:t>Ne vėliau kaip per</w:t>
            </w:r>
            <w:r w:rsidRPr="00A26D0C">
              <w:rPr>
                <w:rFonts w:ascii="Times New Roman" w:eastAsia="Aptos" w:hAnsi="Times New Roman"/>
                <w:sz w:val="22"/>
                <w:szCs w:val="22"/>
                <w14:ligatures w14:val="standardContextual"/>
              </w:rPr>
              <w:t xml:space="preserve"> </w:t>
            </w:r>
            <w:r w:rsidRPr="00A26D0C">
              <w:rPr>
                <w:rFonts w:ascii="Times New Roman" w:eastAsia="Calibri" w:hAnsi="Times New Roman"/>
                <w:sz w:val="22"/>
                <w:szCs w:val="22"/>
              </w:rPr>
              <w:t xml:space="preserve">14 k. d. </w:t>
            </w:r>
            <w:r w:rsidRPr="00A26D0C">
              <w:rPr>
                <w:rFonts w:ascii="Times New Roman" w:eastAsia="Aptos" w:hAnsi="Times New Roman"/>
                <w:sz w:val="22"/>
                <w:szCs w:val="22"/>
                <w14:ligatures w14:val="standardContextual"/>
              </w:rPr>
              <w:t>nuo įvadinės ataskaitos pateikimo</w:t>
            </w:r>
          </w:p>
        </w:tc>
        <w:tc>
          <w:tcPr>
            <w:tcW w:w="1269" w:type="dxa"/>
            <w:tcBorders>
              <w:bottom w:val="single" w:sz="12" w:space="0" w:color="auto"/>
              <w:right w:val="single" w:sz="12" w:space="0" w:color="auto"/>
            </w:tcBorders>
            <w:shd w:val="clear" w:color="auto" w:fill="F2F2F2"/>
            <w:vAlign w:val="center"/>
          </w:tcPr>
          <w:p w14:paraId="7CE320BF" w14:textId="77777777" w:rsidR="00A26D0C" w:rsidRPr="00A26D0C" w:rsidRDefault="00A26D0C" w:rsidP="00A26D0C">
            <w:pPr>
              <w:tabs>
                <w:tab w:val="left" w:pos="-2268"/>
                <w:tab w:val="left" w:pos="1134"/>
              </w:tabs>
              <w:overflowPunct w:val="0"/>
              <w:autoSpaceDE w:val="0"/>
              <w:autoSpaceDN w:val="0"/>
              <w:adjustRightInd w:val="0"/>
              <w:contextualSpacing/>
              <w:jc w:val="center"/>
              <w:textAlignment w:val="baseline"/>
              <w:rPr>
                <w:rFonts w:ascii="Times New Roman" w:eastAsia="Aptos" w:hAnsi="Times New Roman"/>
                <w:sz w:val="22"/>
                <w:szCs w:val="22"/>
                <w14:ligatures w14:val="standardContextual"/>
              </w:rPr>
            </w:pPr>
            <w:r w:rsidRPr="00A26D0C">
              <w:rPr>
                <w:rFonts w:ascii="Times New Roman" w:eastAsia="Aptos" w:hAnsi="Times New Roman"/>
                <w:sz w:val="22"/>
                <w:szCs w:val="22"/>
                <w14:ligatures w14:val="standardContextual"/>
              </w:rPr>
              <w:t>Užsakovas</w:t>
            </w:r>
          </w:p>
        </w:tc>
      </w:tr>
      <w:tr w:rsidR="00A26D0C" w:rsidRPr="00A26D0C" w14:paraId="482F9226" w14:textId="77777777" w:rsidTr="00575222">
        <w:tc>
          <w:tcPr>
            <w:tcW w:w="1133" w:type="dxa"/>
            <w:vMerge w:val="restart"/>
            <w:tcBorders>
              <w:top w:val="single" w:sz="12" w:space="0" w:color="auto"/>
              <w:left w:val="single" w:sz="12" w:space="0" w:color="auto"/>
              <w:right w:val="single" w:sz="8" w:space="0" w:color="auto"/>
            </w:tcBorders>
            <w:vAlign w:val="center"/>
          </w:tcPr>
          <w:p w14:paraId="42F5DF6E" w14:textId="77777777" w:rsidR="00A26D0C" w:rsidRPr="00A26D0C" w:rsidRDefault="00A26D0C" w:rsidP="00A26D0C">
            <w:pPr>
              <w:tabs>
                <w:tab w:val="left" w:pos="-2268"/>
                <w:tab w:val="left" w:pos="454"/>
              </w:tabs>
              <w:overflowPunct w:val="0"/>
              <w:autoSpaceDE w:val="0"/>
              <w:autoSpaceDN w:val="0"/>
              <w:adjustRightInd w:val="0"/>
              <w:jc w:val="both"/>
              <w:textAlignment w:val="baseline"/>
              <w:rPr>
                <w:rFonts w:ascii="Times New Roman" w:eastAsia="Calibri" w:hAnsi="Times New Roman"/>
                <w:b/>
                <w:bCs/>
                <w:sz w:val="22"/>
                <w:szCs w:val="22"/>
              </w:rPr>
            </w:pPr>
            <w:r w:rsidRPr="00A26D0C">
              <w:rPr>
                <w:rFonts w:ascii="Times New Roman" w:eastAsia="Calibri" w:hAnsi="Times New Roman"/>
                <w:b/>
                <w:bCs/>
                <w:sz w:val="22"/>
                <w:szCs w:val="22"/>
              </w:rPr>
              <w:t>Tarpinis</w:t>
            </w:r>
          </w:p>
        </w:tc>
        <w:tc>
          <w:tcPr>
            <w:tcW w:w="2396" w:type="dxa"/>
            <w:tcBorders>
              <w:top w:val="single" w:sz="12" w:space="0" w:color="auto"/>
              <w:left w:val="single" w:sz="8" w:space="0" w:color="auto"/>
              <w:bottom w:val="single" w:sz="8" w:space="0" w:color="auto"/>
              <w:right w:val="single" w:sz="8" w:space="0" w:color="auto"/>
            </w:tcBorders>
            <w:vAlign w:val="center"/>
          </w:tcPr>
          <w:p w14:paraId="6D89659C" w14:textId="77777777" w:rsidR="00A26D0C" w:rsidRPr="00A26D0C" w:rsidRDefault="00A26D0C" w:rsidP="00A26D0C">
            <w:pPr>
              <w:numPr>
                <w:ilvl w:val="0"/>
                <w:numId w:val="41"/>
              </w:numPr>
              <w:tabs>
                <w:tab w:val="left" w:pos="-2268"/>
                <w:tab w:val="left" w:pos="307"/>
              </w:tabs>
              <w:overflowPunct w:val="0"/>
              <w:autoSpaceDE w:val="0"/>
              <w:autoSpaceDN w:val="0"/>
              <w:adjustRightInd w:val="0"/>
              <w:ind w:left="23" w:firstLine="0"/>
              <w:contextualSpacing/>
              <w:textAlignment w:val="baseline"/>
              <w:rPr>
                <w:rFonts w:ascii="Times New Roman" w:eastAsia="Aptos" w:hAnsi="Times New Roman"/>
                <w:sz w:val="22"/>
                <w:szCs w:val="22"/>
                <w14:ligatures w14:val="standardContextual"/>
              </w:rPr>
            </w:pPr>
            <w:r w:rsidRPr="00A26D0C">
              <w:rPr>
                <w:rFonts w:ascii="Times New Roman" w:eastAsia="Aptos" w:hAnsi="Times New Roman"/>
                <w:sz w:val="22"/>
                <w:szCs w:val="22"/>
                <w14:ligatures w14:val="standardContextual"/>
              </w:rPr>
              <w:t>Tarpinė vertinimo ataskaita</w:t>
            </w:r>
          </w:p>
        </w:tc>
        <w:tc>
          <w:tcPr>
            <w:tcW w:w="4810" w:type="dxa"/>
            <w:tcBorders>
              <w:top w:val="single" w:sz="12" w:space="0" w:color="auto"/>
              <w:left w:val="single" w:sz="8" w:space="0" w:color="auto"/>
              <w:bottom w:val="single" w:sz="8" w:space="0" w:color="auto"/>
              <w:right w:val="single" w:sz="8" w:space="0" w:color="auto"/>
            </w:tcBorders>
            <w:vAlign w:val="center"/>
          </w:tcPr>
          <w:p w14:paraId="4B0C0C08" w14:textId="77777777" w:rsidR="00A26D0C" w:rsidRPr="00A26D0C" w:rsidRDefault="00A26D0C" w:rsidP="00A26D0C">
            <w:pPr>
              <w:tabs>
                <w:tab w:val="left" w:pos="-2268"/>
                <w:tab w:val="left" w:pos="1134"/>
              </w:tabs>
              <w:overflowPunct w:val="0"/>
              <w:autoSpaceDE w:val="0"/>
              <w:autoSpaceDN w:val="0"/>
              <w:adjustRightInd w:val="0"/>
              <w:contextualSpacing/>
              <w:jc w:val="both"/>
              <w:textAlignment w:val="baseline"/>
              <w:rPr>
                <w:rFonts w:ascii="Times New Roman" w:eastAsia="Aptos" w:hAnsi="Times New Roman"/>
                <w:sz w:val="22"/>
                <w:szCs w:val="22"/>
                <w14:ligatures w14:val="standardContextual"/>
              </w:rPr>
            </w:pPr>
            <w:r w:rsidRPr="00A26D0C">
              <w:rPr>
                <w:rFonts w:ascii="Times New Roman" w:eastAsia="Calibri" w:hAnsi="Times New Roman"/>
                <w:sz w:val="22"/>
                <w:szCs w:val="22"/>
              </w:rPr>
              <w:t>Ne vėliau kaip per</w:t>
            </w:r>
            <w:r w:rsidRPr="00A26D0C">
              <w:rPr>
                <w:rFonts w:ascii="Times New Roman" w:eastAsia="Aptos" w:hAnsi="Times New Roman"/>
                <w:sz w:val="22"/>
                <w:szCs w:val="22"/>
                <w14:ligatures w14:val="standardContextual"/>
              </w:rPr>
              <w:t xml:space="preserve"> 80 k. d. nuo sutarties įsigaliojimo dienos</w:t>
            </w:r>
          </w:p>
        </w:tc>
        <w:tc>
          <w:tcPr>
            <w:tcW w:w="1269" w:type="dxa"/>
            <w:vMerge w:val="restart"/>
            <w:tcBorders>
              <w:top w:val="single" w:sz="12" w:space="0" w:color="auto"/>
              <w:left w:val="single" w:sz="8" w:space="0" w:color="auto"/>
              <w:bottom w:val="single" w:sz="8" w:space="0" w:color="auto"/>
              <w:right w:val="single" w:sz="12" w:space="0" w:color="auto"/>
            </w:tcBorders>
            <w:vAlign w:val="center"/>
          </w:tcPr>
          <w:p w14:paraId="28365A36" w14:textId="77777777" w:rsidR="00A26D0C" w:rsidRPr="00A26D0C" w:rsidRDefault="00A26D0C" w:rsidP="00A26D0C">
            <w:pPr>
              <w:tabs>
                <w:tab w:val="left" w:pos="1134"/>
              </w:tabs>
              <w:overflowPunct w:val="0"/>
              <w:autoSpaceDE w:val="0"/>
              <w:autoSpaceDN w:val="0"/>
              <w:adjustRightInd w:val="0"/>
              <w:contextualSpacing/>
              <w:jc w:val="center"/>
              <w:textAlignment w:val="baseline"/>
              <w:rPr>
                <w:rFonts w:ascii="Times New Roman" w:eastAsia="Calibri" w:hAnsi="Times New Roman"/>
                <w:sz w:val="22"/>
                <w:szCs w:val="22"/>
                <w14:ligatures w14:val="standardContextual"/>
              </w:rPr>
            </w:pPr>
            <w:r w:rsidRPr="00A26D0C">
              <w:rPr>
                <w:rFonts w:ascii="Times New Roman" w:eastAsia="Calibri" w:hAnsi="Times New Roman"/>
                <w:sz w:val="22"/>
                <w:szCs w:val="22"/>
              </w:rPr>
              <w:t xml:space="preserve"> Vertinimo paslaugų teikėjas</w:t>
            </w:r>
          </w:p>
        </w:tc>
      </w:tr>
      <w:tr w:rsidR="00A26D0C" w:rsidRPr="00A26D0C" w14:paraId="27BFD4EF" w14:textId="77777777" w:rsidTr="00575222">
        <w:tc>
          <w:tcPr>
            <w:tcW w:w="1133" w:type="dxa"/>
            <w:vMerge/>
            <w:tcBorders>
              <w:left w:val="single" w:sz="12" w:space="0" w:color="auto"/>
            </w:tcBorders>
            <w:vAlign w:val="center"/>
          </w:tcPr>
          <w:p w14:paraId="64068F0C" w14:textId="77777777" w:rsidR="00A26D0C" w:rsidRPr="00A26D0C" w:rsidRDefault="00A26D0C" w:rsidP="00A26D0C">
            <w:pPr>
              <w:tabs>
                <w:tab w:val="left" w:pos="-2268"/>
                <w:tab w:val="left" w:pos="454"/>
              </w:tabs>
              <w:overflowPunct w:val="0"/>
              <w:autoSpaceDE w:val="0"/>
              <w:autoSpaceDN w:val="0"/>
              <w:adjustRightInd w:val="0"/>
              <w:jc w:val="both"/>
              <w:textAlignment w:val="baseline"/>
              <w:rPr>
                <w:rFonts w:ascii="Times New Roman" w:eastAsia="Calibri" w:hAnsi="Times New Roman"/>
                <w:b/>
                <w:bCs/>
                <w:sz w:val="22"/>
                <w:szCs w:val="22"/>
              </w:rPr>
            </w:pPr>
          </w:p>
        </w:tc>
        <w:tc>
          <w:tcPr>
            <w:tcW w:w="2396" w:type="dxa"/>
            <w:tcBorders>
              <w:top w:val="single" w:sz="8" w:space="0" w:color="auto"/>
              <w:left w:val="single" w:sz="8" w:space="0" w:color="auto"/>
              <w:bottom w:val="single" w:sz="8" w:space="0" w:color="auto"/>
              <w:right w:val="single" w:sz="8" w:space="0" w:color="auto"/>
            </w:tcBorders>
            <w:vAlign w:val="center"/>
          </w:tcPr>
          <w:p w14:paraId="6AAAB7FE" w14:textId="77777777" w:rsidR="00A26D0C" w:rsidRPr="00A26D0C" w:rsidRDefault="00A26D0C" w:rsidP="00A26D0C">
            <w:pPr>
              <w:numPr>
                <w:ilvl w:val="0"/>
                <w:numId w:val="41"/>
              </w:numPr>
              <w:tabs>
                <w:tab w:val="left" w:pos="-2268"/>
                <w:tab w:val="left" w:pos="307"/>
              </w:tabs>
              <w:overflowPunct w:val="0"/>
              <w:autoSpaceDE w:val="0"/>
              <w:autoSpaceDN w:val="0"/>
              <w:adjustRightInd w:val="0"/>
              <w:ind w:left="23" w:firstLine="0"/>
              <w:contextualSpacing/>
              <w:textAlignment w:val="baseline"/>
              <w:rPr>
                <w:rFonts w:ascii="Times New Roman" w:eastAsia="Aptos" w:hAnsi="Times New Roman"/>
                <w:sz w:val="22"/>
                <w:szCs w:val="22"/>
                <w14:ligatures w14:val="standardContextual"/>
              </w:rPr>
            </w:pPr>
            <w:r w:rsidRPr="00A26D0C">
              <w:rPr>
                <w:rFonts w:ascii="Times New Roman" w:eastAsia="Aptos" w:hAnsi="Times New Roman"/>
                <w:sz w:val="22"/>
                <w:szCs w:val="22"/>
                <w14:ligatures w14:val="standardContextual"/>
              </w:rPr>
              <w:t>Tarpinių vertinimo rezultatų pristatymas</w:t>
            </w:r>
          </w:p>
        </w:tc>
        <w:tc>
          <w:tcPr>
            <w:tcW w:w="4810" w:type="dxa"/>
            <w:tcBorders>
              <w:top w:val="single" w:sz="8" w:space="0" w:color="auto"/>
              <w:left w:val="single" w:sz="8" w:space="0" w:color="auto"/>
              <w:bottom w:val="single" w:sz="8" w:space="0" w:color="auto"/>
              <w:right w:val="single" w:sz="8" w:space="0" w:color="auto"/>
            </w:tcBorders>
            <w:vAlign w:val="center"/>
          </w:tcPr>
          <w:p w14:paraId="3261760C" w14:textId="77777777" w:rsidR="00A26D0C" w:rsidRPr="00A26D0C" w:rsidRDefault="00A26D0C" w:rsidP="00A26D0C">
            <w:pPr>
              <w:tabs>
                <w:tab w:val="left" w:pos="-2268"/>
                <w:tab w:val="left" w:pos="1134"/>
              </w:tabs>
              <w:overflowPunct w:val="0"/>
              <w:autoSpaceDE w:val="0"/>
              <w:autoSpaceDN w:val="0"/>
              <w:adjustRightInd w:val="0"/>
              <w:contextualSpacing/>
              <w:jc w:val="both"/>
              <w:textAlignment w:val="baseline"/>
              <w:rPr>
                <w:rFonts w:ascii="Times New Roman" w:eastAsia="Aptos" w:hAnsi="Times New Roman"/>
                <w:sz w:val="22"/>
                <w:szCs w:val="22"/>
                <w14:ligatures w14:val="standardContextual"/>
              </w:rPr>
            </w:pPr>
            <w:r w:rsidRPr="00A26D0C">
              <w:rPr>
                <w:rFonts w:ascii="Times New Roman" w:eastAsia="Calibri" w:hAnsi="Times New Roman"/>
                <w:sz w:val="22"/>
                <w:szCs w:val="22"/>
              </w:rPr>
              <w:t>Ne vėliau kaip per 7 k. d. nuo tarpinės vertinimo ataskaitos projekto pateikimo</w:t>
            </w:r>
          </w:p>
        </w:tc>
        <w:tc>
          <w:tcPr>
            <w:tcW w:w="1269" w:type="dxa"/>
            <w:vMerge/>
            <w:tcBorders>
              <w:right w:val="single" w:sz="12" w:space="0" w:color="auto"/>
            </w:tcBorders>
            <w:vAlign w:val="center"/>
          </w:tcPr>
          <w:p w14:paraId="5FFA7DFA" w14:textId="77777777" w:rsidR="00A26D0C" w:rsidRPr="00A26D0C" w:rsidRDefault="00A26D0C" w:rsidP="00A26D0C">
            <w:pPr>
              <w:tabs>
                <w:tab w:val="left" w:pos="-2268"/>
                <w:tab w:val="left" w:pos="1134"/>
              </w:tabs>
              <w:overflowPunct w:val="0"/>
              <w:autoSpaceDE w:val="0"/>
              <w:autoSpaceDN w:val="0"/>
              <w:adjustRightInd w:val="0"/>
              <w:contextualSpacing/>
              <w:jc w:val="center"/>
              <w:textAlignment w:val="baseline"/>
              <w:rPr>
                <w:rFonts w:ascii="Times New Roman" w:eastAsia="Aptos" w:hAnsi="Times New Roman"/>
                <w:sz w:val="22"/>
                <w:szCs w:val="22"/>
                <w14:ligatures w14:val="standardContextual"/>
              </w:rPr>
            </w:pPr>
          </w:p>
        </w:tc>
      </w:tr>
      <w:tr w:rsidR="00A26D0C" w:rsidRPr="00A26D0C" w14:paraId="01781469" w14:textId="77777777" w:rsidTr="00A26D0C">
        <w:tc>
          <w:tcPr>
            <w:tcW w:w="1133" w:type="dxa"/>
            <w:vMerge/>
            <w:tcBorders>
              <w:left w:val="single" w:sz="12" w:space="0" w:color="auto"/>
              <w:bottom w:val="single" w:sz="12" w:space="0" w:color="auto"/>
            </w:tcBorders>
            <w:vAlign w:val="center"/>
          </w:tcPr>
          <w:p w14:paraId="0558AAFF" w14:textId="77777777" w:rsidR="00A26D0C" w:rsidRPr="00A26D0C" w:rsidRDefault="00A26D0C" w:rsidP="00A26D0C">
            <w:pPr>
              <w:tabs>
                <w:tab w:val="left" w:pos="-2268"/>
                <w:tab w:val="left" w:pos="454"/>
              </w:tabs>
              <w:overflowPunct w:val="0"/>
              <w:autoSpaceDE w:val="0"/>
              <w:autoSpaceDN w:val="0"/>
              <w:adjustRightInd w:val="0"/>
              <w:jc w:val="both"/>
              <w:textAlignment w:val="baseline"/>
              <w:rPr>
                <w:rFonts w:ascii="Times New Roman" w:eastAsia="Calibri" w:hAnsi="Times New Roman"/>
                <w:b/>
                <w:bCs/>
                <w:sz w:val="22"/>
                <w:szCs w:val="22"/>
              </w:rPr>
            </w:pPr>
          </w:p>
        </w:tc>
        <w:tc>
          <w:tcPr>
            <w:tcW w:w="2396" w:type="dxa"/>
            <w:tcBorders>
              <w:top w:val="single" w:sz="8" w:space="0" w:color="auto"/>
              <w:left w:val="single" w:sz="8" w:space="0" w:color="auto"/>
              <w:bottom w:val="single" w:sz="12" w:space="0" w:color="auto"/>
              <w:right w:val="single" w:sz="8" w:space="0" w:color="auto"/>
            </w:tcBorders>
            <w:shd w:val="clear" w:color="auto" w:fill="F2F2F2"/>
            <w:vAlign w:val="center"/>
          </w:tcPr>
          <w:p w14:paraId="35A4A7C4" w14:textId="77777777" w:rsidR="00A26D0C" w:rsidRPr="00A26D0C" w:rsidRDefault="00A26D0C" w:rsidP="00A26D0C">
            <w:pPr>
              <w:numPr>
                <w:ilvl w:val="0"/>
                <w:numId w:val="41"/>
              </w:numPr>
              <w:tabs>
                <w:tab w:val="left" w:pos="-2268"/>
                <w:tab w:val="left" w:pos="307"/>
              </w:tabs>
              <w:overflowPunct w:val="0"/>
              <w:autoSpaceDE w:val="0"/>
              <w:autoSpaceDN w:val="0"/>
              <w:adjustRightInd w:val="0"/>
              <w:ind w:left="23" w:firstLine="0"/>
              <w:contextualSpacing/>
              <w:textAlignment w:val="baseline"/>
              <w:rPr>
                <w:rFonts w:ascii="Times New Roman" w:eastAsia="Aptos" w:hAnsi="Times New Roman"/>
                <w:sz w:val="22"/>
                <w:szCs w:val="22"/>
                <w14:ligatures w14:val="standardContextual"/>
              </w:rPr>
            </w:pPr>
            <w:r w:rsidRPr="00A26D0C">
              <w:rPr>
                <w:rFonts w:ascii="Times New Roman" w:eastAsia="Aptos" w:hAnsi="Times New Roman"/>
                <w:sz w:val="22"/>
                <w:szCs w:val="22"/>
                <w14:ligatures w14:val="standardContextual"/>
              </w:rPr>
              <w:t>Pastabų teikimas</w:t>
            </w:r>
          </w:p>
        </w:tc>
        <w:tc>
          <w:tcPr>
            <w:tcW w:w="4810" w:type="dxa"/>
            <w:tcBorders>
              <w:top w:val="single" w:sz="8" w:space="0" w:color="auto"/>
              <w:left w:val="single" w:sz="8" w:space="0" w:color="auto"/>
              <w:bottom w:val="single" w:sz="12" w:space="0" w:color="auto"/>
              <w:right w:val="single" w:sz="8" w:space="0" w:color="auto"/>
            </w:tcBorders>
            <w:shd w:val="clear" w:color="auto" w:fill="F2F2F2"/>
            <w:vAlign w:val="center"/>
          </w:tcPr>
          <w:p w14:paraId="08C4EDB6" w14:textId="77777777" w:rsidR="00A26D0C" w:rsidRPr="00A26D0C" w:rsidRDefault="00A26D0C" w:rsidP="00A26D0C">
            <w:pPr>
              <w:tabs>
                <w:tab w:val="left" w:pos="-2268"/>
                <w:tab w:val="left" w:pos="1134"/>
              </w:tabs>
              <w:overflowPunct w:val="0"/>
              <w:autoSpaceDE w:val="0"/>
              <w:autoSpaceDN w:val="0"/>
              <w:adjustRightInd w:val="0"/>
              <w:contextualSpacing/>
              <w:jc w:val="both"/>
              <w:textAlignment w:val="baseline"/>
              <w:rPr>
                <w:rFonts w:ascii="Times New Roman" w:eastAsia="Aptos" w:hAnsi="Times New Roman"/>
                <w:sz w:val="22"/>
                <w:szCs w:val="22"/>
                <w14:ligatures w14:val="standardContextual"/>
              </w:rPr>
            </w:pPr>
            <w:r w:rsidRPr="00A26D0C">
              <w:rPr>
                <w:rFonts w:ascii="Times New Roman" w:eastAsia="Calibri" w:hAnsi="Times New Roman"/>
                <w:sz w:val="22"/>
                <w:szCs w:val="22"/>
              </w:rPr>
              <w:t>Ne vėliau kaip per</w:t>
            </w:r>
            <w:r w:rsidRPr="00A26D0C">
              <w:rPr>
                <w:rFonts w:ascii="Times New Roman" w:eastAsia="Aptos" w:hAnsi="Times New Roman"/>
                <w:sz w:val="22"/>
                <w:szCs w:val="22"/>
                <w14:ligatures w14:val="standardContextual"/>
              </w:rPr>
              <w:t xml:space="preserve"> 14 k. d. nuo tarpinių vertinimo rezultatų pristatymo</w:t>
            </w:r>
          </w:p>
        </w:tc>
        <w:tc>
          <w:tcPr>
            <w:tcW w:w="1269" w:type="dxa"/>
            <w:tcBorders>
              <w:top w:val="single" w:sz="8" w:space="0" w:color="auto"/>
              <w:left w:val="single" w:sz="8" w:space="0" w:color="auto"/>
              <w:bottom w:val="single" w:sz="12" w:space="0" w:color="auto"/>
              <w:right w:val="single" w:sz="12" w:space="0" w:color="auto"/>
            </w:tcBorders>
            <w:shd w:val="clear" w:color="auto" w:fill="F2F2F2"/>
            <w:vAlign w:val="center"/>
          </w:tcPr>
          <w:p w14:paraId="05E01AFD" w14:textId="77777777" w:rsidR="00A26D0C" w:rsidRPr="00A26D0C" w:rsidRDefault="00A26D0C" w:rsidP="00A26D0C">
            <w:pPr>
              <w:tabs>
                <w:tab w:val="left" w:pos="-2268"/>
                <w:tab w:val="left" w:pos="1134"/>
              </w:tabs>
              <w:overflowPunct w:val="0"/>
              <w:autoSpaceDE w:val="0"/>
              <w:autoSpaceDN w:val="0"/>
              <w:adjustRightInd w:val="0"/>
              <w:contextualSpacing/>
              <w:jc w:val="center"/>
              <w:textAlignment w:val="baseline"/>
              <w:rPr>
                <w:rFonts w:ascii="Times New Roman" w:eastAsia="Aptos" w:hAnsi="Times New Roman"/>
                <w:sz w:val="22"/>
                <w:szCs w:val="22"/>
                <w14:ligatures w14:val="standardContextual"/>
              </w:rPr>
            </w:pPr>
            <w:r w:rsidRPr="00A26D0C">
              <w:rPr>
                <w:rFonts w:ascii="Times New Roman" w:eastAsia="Aptos" w:hAnsi="Times New Roman"/>
                <w:sz w:val="22"/>
                <w:szCs w:val="22"/>
                <w14:ligatures w14:val="standardContextual"/>
              </w:rPr>
              <w:t>Užsakovas</w:t>
            </w:r>
          </w:p>
        </w:tc>
      </w:tr>
      <w:tr w:rsidR="00A26D0C" w:rsidRPr="00A26D0C" w14:paraId="46381D8D" w14:textId="77777777" w:rsidTr="00575222">
        <w:tc>
          <w:tcPr>
            <w:tcW w:w="1133" w:type="dxa"/>
            <w:vMerge w:val="restart"/>
            <w:tcBorders>
              <w:top w:val="single" w:sz="12" w:space="0" w:color="auto"/>
              <w:left w:val="single" w:sz="12" w:space="0" w:color="auto"/>
              <w:bottom w:val="single" w:sz="4" w:space="0" w:color="auto"/>
              <w:right w:val="single" w:sz="4" w:space="0" w:color="auto"/>
            </w:tcBorders>
            <w:vAlign w:val="center"/>
          </w:tcPr>
          <w:p w14:paraId="76B3B1F8" w14:textId="77777777" w:rsidR="00A26D0C" w:rsidRPr="00A26D0C" w:rsidRDefault="00A26D0C" w:rsidP="00A26D0C">
            <w:pPr>
              <w:tabs>
                <w:tab w:val="left" w:pos="-2268"/>
                <w:tab w:val="left" w:pos="313"/>
              </w:tabs>
              <w:overflowPunct w:val="0"/>
              <w:autoSpaceDE w:val="0"/>
              <w:autoSpaceDN w:val="0"/>
              <w:adjustRightInd w:val="0"/>
              <w:jc w:val="both"/>
              <w:textAlignment w:val="baseline"/>
              <w:rPr>
                <w:rFonts w:ascii="Times New Roman" w:eastAsia="Calibri" w:hAnsi="Times New Roman"/>
                <w:b/>
                <w:bCs/>
                <w:sz w:val="22"/>
                <w:szCs w:val="22"/>
              </w:rPr>
            </w:pPr>
            <w:r w:rsidRPr="00A26D0C">
              <w:rPr>
                <w:rFonts w:ascii="Times New Roman" w:eastAsia="Calibri" w:hAnsi="Times New Roman"/>
                <w:b/>
                <w:bCs/>
                <w:sz w:val="22"/>
                <w:szCs w:val="22"/>
              </w:rPr>
              <w:t>Galutinis</w:t>
            </w:r>
          </w:p>
        </w:tc>
        <w:tc>
          <w:tcPr>
            <w:tcW w:w="2396" w:type="dxa"/>
            <w:tcBorders>
              <w:top w:val="single" w:sz="12" w:space="0" w:color="auto"/>
              <w:left w:val="single" w:sz="4" w:space="0" w:color="auto"/>
              <w:bottom w:val="single" w:sz="4" w:space="0" w:color="auto"/>
              <w:right w:val="single" w:sz="4" w:space="0" w:color="auto"/>
            </w:tcBorders>
            <w:vAlign w:val="center"/>
          </w:tcPr>
          <w:p w14:paraId="66BF6F47" w14:textId="77777777" w:rsidR="00A26D0C" w:rsidRPr="00A26D0C" w:rsidRDefault="00A26D0C" w:rsidP="00A26D0C">
            <w:pPr>
              <w:numPr>
                <w:ilvl w:val="0"/>
                <w:numId w:val="41"/>
              </w:numPr>
              <w:tabs>
                <w:tab w:val="left" w:pos="-2268"/>
                <w:tab w:val="left" w:pos="307"/>
              </w:tabs>
              <w:overflowPunct w:val="0"/>
              <w:autoSpaceDE w:val="0"/>
              <w:autoSpaceDN w:val="0"/>
              <w:adjustRightInd w:val="0"/>
              <w:ind w:left="23" w:firstLine="0"/>
              <w:contextualSpacing/>
              <w:textAlignment w:val="baseline"/>
              <w:rPr>
                <w:rFonts w:ascii="Times New Roman" w:eastAsia="Aptos" w:hAnsi="Times New Roman"/>
                <w:sz w:val="22"/>
                <w:szCs w:val="22"/>
                <w14:ligatures w14:val="standardContextual"/>
              </w:rPr>
            </w:pPr>
            <w:r w:rsidRPr="00A26D0C">
              <w:rPr>
                <w:rFonts w:ascii="Times New Roman" w:eastAsia="Aptos" w:hAnsi="Times New Roman"/>
                <w:sz w:val="22"/>
                <w:szCs w:val="22"/>
                <w14:ligatures w14:val="standardContextual"/>
              </w:rPr>
              <w:t>Galutinės vertinimo ataskaitos projektas</w:t>
            </w:r>
          </w:p>
        </w:tc>
        <w:tc>
          <w:tcPr>
            <w:tcW w:w="4810" w:type="dxa"/>
            <w:tcBorders>
              <w:top w:val="single" w:sz="12" w:space="0" w:color="auto"/>
              <w:left w:val="single" w:sz="4" w:space="0" w:color="auto"/>
              <w:bottom w:val="single" w:sz="4" w:space="0" w:color="auto"/>
              <w:right w:val="single" w:sz="4" w:space="0" w:color="auto"/>
            </w:tcBorders>
            <w:vAlign w:val="center"/>
          </w:tcPr>
          <w:p w14:paraId="591CE9A8" w14:textId="77777777" w:rsidR="00A26D0C" w:rsidRPr="00A26D0C" w:rsidRDefault="00A26D0C" w:rsidP="00A26D0C">
            <w:pPr>
              <w:tabs>
                <w:tab w:val="left" w:pos="-2268"/>
                <w:tab w:val="left" w:pos="1134"/>
              </w:tabs>
              <w:overflowPunct w:val="0"/>
              <w:autoSpaceDE w:val="0"/>
              <w:autoSpaceDN w:val="0"/>
              <w:adjustRightInd w:val="0"/>
              <w:contextualSpacing/>
              <w:jc w:val="both"/>
              <w:textAlignment w:val="baseline"/>
              <w:rPr>
                <w:rFonts w:ascii="Times New Roman" w:eastAsia="Aptos" w:hAnsi="Times New Roman"/>
                <w:sz w:val="22"/>
                <w:szCs w:val="22"/>
                <w14:ligatures w14:val="standardContextual"/>
              </w:rPr>
            </w:pPr>
            <w:r w:rsidRPr="00A26D0C">
              <w:rPr>
                <w:rFonts w:ascii="Times New Roman" w:eastAsia="Calibri" w:hAnsi="Times New Roman"/>
                <w:sz w:val="22"/>
                <w:szCs w:val="22"/>
              </w:rPr>
              <w:t>Ne vėliau kaip per</w:t>
            </w:r>
            <w:r w:rsidRPr="00A26D0C">
              <w:rPr>
                <w:rFonts w:ascii="Times New Roman" w:eastAsia="Aptos" w:hAnsi="Times New Roman"/>
                <w:sz w:val="22"/>
                <w:szCs w:val="22"/>
                <w14:ligatures w14:val="standardContextual"/>
              </w:rPr>
              <w:t xml:space="preserve"> 120 k. d. nuo sutarties įsigaliojimo dienos</w:t>
            </w:r>
          </w:p>
        </w:tc>
        <w:tc>
          <w:tcPr>
            <w:tcW w:w="1269" w:type="dxa"/>
            <w:tcBorders>
              <w:top w:val="single" w:sz="12" w:space="0" w:color="auto"/>
              <w:left w:val="single" w:sz="4" w:space="0" w:color="auto"/>
              <w:bottom w:val="single" w:sz="4" w:space="0" w:color="auto"/>
              <w:right w:val="single" w:sz="12" w:space="0" w:color="auto"/>
            </w:tcBorders>
            <w:vAlign w:val="center"/>
          </w:tcPr>
          <w:p w14:paraId="453CBD54" w14:textId="77777777" w:rsidR="00A26D0C" w:rsidRPr="00A26D0C" w:rsidRDefault="00A26D0C" w:rsidP="00A26D0C">
            <w:pPr>
              <w:tabs>
                <w:tab w:val="left" w:pos="1134"/>
              </w:tabs>
              <w:overflowPunct w:val="0"/>
              <w:autoSpaceDE w:val="0"/>
              <w:autoSpaceDN w:val="0"/>
              <w:adjustRightInd w:val="0"/>
              <w:contextualSpacing/>
              <w:jc w:val="center"/>
              <w:textAlignment w:val="baseline"/>
              <w:rPr>
                <w:rFonts w:ascii="Times New Roman" w:eastAsia="Calibri" w:hAnsi="Times New Roman"/>
                <w:sz w:val="22"/>
                <w:szCs w:val="22"/>
              </w:rPr>
            </w:pPr>
            <w:r w:rsidRPr="00A26D0C">
              <w:rPr>
                <w:rFonts w:ascii="Times New Roman" w:eastAsia="Calibri" w:hAnsi="Times New Roman"/>
                <w:sz w:val="22"/>
                <w:szCs w:val="22"/>
              </w:rPr>
              <w:t xml:space="preserve"> Vertinimo paslaugų teikėjas</w:t>
            </w:r>
          </w:p>
        </w:tc>
      </w:tr>
      <w:tr w:rsidR="00A26D0C" w:rsidRPr="00A26D0C" w14:paraId="2D694EE7" w14:textId="77777777" w:rsidTr="00A26D0C">
        <w:tc>
          <w:tcPr>
            <w:tcW w:w="1133" w:type="dxa"/>
            <w:vMerge/>
            <w:tcBorders>
              <w:left w:val="single" w:sz="12" w:space="0" w:color="auto"/>
            </w:tcBorders>
            <w:vAlign w:val="center"/>
          </w:tcPr>
          <w:p w14:paraId="71D2827C" w14:textId="77777777" w:rsidR="00A26D0C" w:rsidRPr="00A26D0C" w:rsidRDefault="00A26D0C" w:rsidP="00A26D0C">
            <w:pPr>
              <w:tabs>
                <w:tab w:val="left" w:pos="-2268"/>
                <w:tab w:val="left" w:pos="313"/>
              </w:tabs>
              <w:overflowPunct w:val="0"/>
              <w:autoSpaceDE w:val="0"/>
              <w:autoSpaceDN w:val="0"/>
              <w:adjustRightInd w:val="0"/>
              <w:ind w:firstLine="720"/>
              <w:jc w:val="both"/>
              <w:textAlignment w:val="baseline"/>
              <w:rPr>
                <w:rFonts w:ascii="Times New Roman" w:eastAsia="Calibri" w:hAnsi="Times New Roman"/>
                <w:b/>
                <w:bCs/>
                <w:sz w:val="22"/>
                <w:szCs w:val="22"/>
              </w:rPr>
            </w:pPr>
          </w:p>
        </w:tc>
        <w:tc>
          <w:tcPr>
            <w:tcW w:w="2396" w:type="dxa"/>
            <w:tcBorders>
              <w:top w:val="single" w:sz="4" w:space="0" w:color="auto"/>
              <w:left w:val="single" w:sz="4" w:space="0" w:color="auto"/>
              <w:bottom w:val="single" w:sz="4" w:space="0" w:color="auto"/>
              <w:right w:val="single" w:sz="4" w:space="0" w:color="auto"/>
            </w:tcBorders>
            <w:shd w:val="clear" w:color="auto" w:fill="F2F2F2"/>
            <w:vAlign w:val="center"/>
          </w:tcPr>
          <w:p w14:paraId="33E4CE34" w14:textId="77777777" w:rsidR="00A26D0C" w:rsidRPr="00A26D0C" w:rsidRDefault="00A26D0C" w:rsidP="00A26D0C">
            <w:pPr>
              <w:numPr>
                <w:ilvl w:val="0"/>
                <w:numId w:val="41"/>
              </w:numPr>
              <w:tabs>
                <w:tab w:val="left" w:pos="-2268"/>
                <w:tab w:val="left" w:pos="307"/>
              </w:tabs>
              <w:overflowPunct w:val="0"/>
              <w:autoSpaceDE w:val="0"/>
              <w:autoSpaceDN w:val="0"/>
              <w:adjustRightInd w:val="0"/>
              <w:ind w:left="23" w:firstLine="0"/>
              <w:contextualSpacing/>
              <w:textAlignment w:val="baseline"/>
              <w:rPr>
                <w:rFonts w:ascii="Times New Roman" w:eastAsia="Aptos" w:hAnsi="Times New Roman"/>
                <w:sz w:val="22"/>
                <w:szCs w:val="22"/>
                <w14:ligatures w14:val="standardContextual"/>
              </w:rPr>
            </w:pPr>
            <w:r w:rsidRPr="00A26D0C">
              <w:rPr>
                <w:rFonts w:ascii="Times New Roman" w:eastAsia="Aptos" w:hAnsi="Times New Roman"/>
                <w:sz w:val="22"/>
                <w:szCs w:val="22"/>
                <w14:ligatures w14:val="standardContextual"/>
              </w:rPr>
              <w:t>Pastabų teikimas</w:t>
            </w:r>
          </w:p>
        </w:tc>
        <w:tc>
          <w:tcPr>
            <w:tcW w:w="4810" w:type="dxa"/>
            <w:tcBorders>
              <w:top w:val="single" w:sz="4" w:space="0" w:color="auto"/>
              <w:left w:val="single" w:sz="4" w:space="0" w:color="auto"/>
              <w:bottom w:val="single" w:sz="4" w:space="0" w:color="auto"/>
              <w:right w:val="single" w:sz="4" w:space="0" w:color="auto"/>
            </w:tcBorders>
            <w:shd w:val="clear" w:color="auto" w:fill="F2F2F2"/>
            <w:vAlign w:val="center"/>
          </w:tcPr>
          <w:p w14:paraId="6BC75DCE" w14:textId="77777777" w:rsidR="00A26D0C" w:rsidRPr="00A26D0C" w:rsidRDefault="00A26D0C" w:rsidP="00A26D0C">
            <w:pPr>
              <w:tabs>
                <w:tab w:val="left" w:pos="-2268"/>
                <w:tab w:val="left" w:pos="1134"/>
              </w:tabs>
              <w:overflowPunct w:val="0"/>
              <w:autoSpaceDE w:val="0"/>
              <w:autoSpaceDN w:val="0"/>
              <w:adjustRightInd w:val="0"/>
              <w:contextualSpacing/>
              <w:jc w:val="both"/>
              <w:textAlignment w:val="baseline"/>
              <w:rPr>
                <w:rFonts w:ascii="Times New Roman" w:eastAsia="Aptos" w:hAnsi="Times New Roman"/>
                <w:b/>
                <w:bCs/>
                <w:sz w:val="22"/>
                <w:szCs w:val="22"/>
                <w14:ligatures w14:val="standardContextual"/>
              </w:rPr>
            </w:pPr>
            <w:r w:rsidRPr="00A26D0C">
              <w:rPr>
                <w:rFonts w:ascii="Times New Roman" w:eastAsia="Calibri" w:hAnsi="Times New Roman"/>
                <w:sz w:val="22"/>
                <w:szCs w:val="22"/>
              </w:rPr>
              <w:t>Ne vėliau kaip per</w:t>
            </w:r>
            <w:r w:rsidRPr="00A26D0C">
              <w:rPr>
                <w:rFonts w:ascii="Times New Roman" w:eastAsia="Aptos" w:hAnsi="Times New Roman"/>
                <w:sz w:val="22"/>
                <w:szCs w:val="22"/>
                <w14:ligatures w14:val="standardContextual"/>
              </w:rPr>
              <w:t xml:space="preserve"> 14 k. d. nuo galutinės vertinimo ataskaitos projekto pateikimo</w:t>
            </w:r>
          </w:p>
        </w:tc>
        <w:tc>
          <w:tcPr>
            <w:tcW w:w="1269" w:type="dxa"/>
            <w:tcBorders>
              <w:top w:val="single" w:sz="4" w:space="0" w:color="auto"/>
              <w:left w:val="single" w:sz="4" w:space="0" w:color="auto"/>
              <w:bottom w:val="single" w:sz="4" w:space="0" w:color="auto"/>
              <w:right w:val="single" w:sz="12" w:space="0" w:color="auto"/>
            </w:tcBorders>
            <w:shd w:val="clear" w:color="auto" w:fill="F2F2F2"/>
            <w:vAlign w:val="center"/>
          </w:tcPr>
          <w:p w14:paraId="5A669B86" w14:textId="77777777" w:rsidR="00A26D0C" w:rsidRPr="00A26D0C" w:rsidRDefault="00A26D0C" w:rsidP="00A26D0C">
            <w:pPr>
              <w:tabs>
                <w:tab w:val="left" w:pos="-2268"/>
                <w:tab w:val="left" w:pos="1134"/>
              </w:tabs>
              <w:overflowPunct w:val="0"/>
              <w:autoSpaceDE w:val="0"/>
              <w:autoSpaceDN w:val="0"/>
              <w:adjustRightInd w:val="0"/>
              <w:contextualSpacing/>
              <w:jc w:val="center"/>
              <w:textAlignment w:val="baseline"/>
              <w:rPr>
                <w:rFonts w:ascii="Times New Roman" w:eastAsia="Aptos" w:hAnsi="Times New Roman"/>
                <w:sz w:val="22"/>
                <w:szCs w:val="22"/>
                <w14:ligatures w14:val="standardContextual"/>
              </w:rPr>
            </w:pPr>
            <w:r w:rsidRPr="00A26D0C">
              <w:rPr>
                <w:rFonts w:ascii="Times New Roman" w:eastAsia="Aptos" w:hAnsi="Times New Roman"/>
                <w:sz w:val="22"/>
                <w:szCs w:val="22"/>
                <w14:ligatures w14:val="standardContextual"/>
              </w:rPr>
              <w:t>Užsakovas</w:t>
            </w:r>
          </w:p>
        </w:tc>
      </w:tr>
      <w:tr w:rsidR="00A26D0C" w:rsidRPr="00A26D0C" w14:paraId="630A376D" w14:textId="77777777" w:rsidTr="00575222">
        <w:trPr>
          <w:trHeight w:val="60"/>
        </w:trPr>
        <w:tc>
          <w:tcPr>
            <w:tcW w:w="1133" w:type="dxa"/>
            <w:vMerge/>
            <w:tcBorders>
              <w:left w:val="single" w:sz="12" w:space="0" w:color="auto"/>
            </w:tcBorders>
            <w:vAlign w:val="center"/>
          </w:tcPr>
          <w:p w14:paraId="3C04CAFC" w14:textId="77777777" w:rsidR="00A26D0C" w:rsidRPr="00A26D0C" w:rsidRDefault="00A26D0C" w:rsidP="00A26D0C">
            <w:pPr>
              <w:tabs>
                <w:tab w:val="left" w:pos="-2268"/>
                <w:tab w:val="left" w:pos="313"/>
              </w:tabs>
              <w:overflowPunct w:val="0"/>
              <w:autoSpaceDE w:val="0"/>
              <w:autoSpaceDN w:val="0"/>
              <w:adjustRightInd w:val="0"/>
              <w:jc w:val="both"/>
              <w:textAlignment w:val="baseline"/>
              <w:rPr>
                <w:rFonts w:ascii="Times New Roman" w:eastAsia="Calibri" w:hAnsi="Times New Roman"/>
                <w:sz w:val="22"/>
                <w:szCs w:val="22"/>
              </w:rPr>
            </w:pPr>
          </w:p>
        </w:tc>
        <w:tc>
          <w:tcPr>
            <w:tcW w:w="2396" w:type="dxa"/>
            <w:tcBorders>
              <w:top w:val="single" w:sz="4" w:space="0" w:color="auto"/>
              <w:left w:val="single" w:sz="4" w:space="0" w:color="auto"/>
              <w:right w:val="single" w:sz="4" w:space="0" w:color="auto"/>
            </w:tcBorders>
            <w:vAlign w:val="center"/>
          </w:tcPr>
          <w:p w14:paraId="1EEC01F0" w14:textId="77777777" w:rsidR="00A26D0C" w:rsidRPr="00A26D0C" w:rsidRDefault="00A26D0C" w:rsidP="00A26D0C">
            <w:pPr>
              <w:numPr>
                <w:ilvl w:val="0"/>
                <w:numId w:val="41"/>
              </w:numPr>
              <w:tabs>
                <w:tab w:val="left" w:pos="-2268"/>
                <w:tab w:val="left" w:pos="307"/>
              </w:tabs>
              <w:overflowPunct w:val="0"/>
              <w:autoSpaceDE w:val="0"/>
              <w:autoSpaceDN w:val="0"/>
              <w:adjustRightInd w:val="0"/>
              <w:ind w:left="23" w:firstLine="0"/>
              <w:contextualSpacing/>
              <w:textAlignment w:val="baseline"/>
              <w:rPr>
                <w:rFonts w:ascii="Times New Roman" w:eastAsia="Aptos" w:hAnsi="Times New Roman"/>
                <w:sz w:val="22"/>
                <w:szCs w:val="22"/>
                <w14:ligatures w14:val="standardContextual"/>
              </w:rPr>
            </w:pPr>
            <w:r w:rsidRPr="00A26D0C">
              <w:rPr>
                <w:rFonts w:ascii="Times New Roman" w:eastAsia="Aptos" w:hAnsi="Times New Roman"/>
                <w:sz w:val="22"/>
                <w:szCs w:val="22"/>
                <w14:ligatures w14:val="standardContextual"/>
              </w:rPr>
              <w:t xml:space="preserve">Galutinė vertinimo ataskaita  </w:t>
            </w:r>
          </w:p>
        </w:tc>
        <w:tc>
          <w:tcPr>
            <w:tcW w:w="4810" w:type="dxa"/>
            <w:tcBorders>
              <w:top w:val="single" w:sz="4" w:space="0" w:color="auto"/>
              <w:left w:val="single" w:sz="4" w:space="0" w:color="auto"/>
              <w:right w:val="single" w:sz="4" w:space="0" w:color="auto"/>
            </w:tcBorders>
            <w:vAlign w:val="center"/>
          </w:tcPr>
          <w:p w14:paraId="5F13063D" w14:textId="77777777" w:rsidR="00A26D0C" w:rsidRPr="00A26D0C" w:rsidRDefault="00A26D0C" w:rsidP="00A26D0C">
            <w:pPr>
              <w:tabs>
                <w:tab w:val="left" w:pos="-2268"/>
                <w:tab w:val="left" w:pos="1134"/>
              </w:tabs>
              <w:overflowPunct w:val="0"/>
              <w:autoSpaceDE w:val="0"/>
              <w:autoSpaceDN w:val="0"/>
              <w:adjustRightInd w:val="0"/>
              <w:contextualSpacing/>
              <w:jc w:val="both"/>
              <w:textAlignment w:val="baseline"/>
              <w:rPr>
                <w:rFonts w:ascii="Times New Roman" w:eastAsia="Calibri" w:hAnsi="Times New Roman"/>
                <w:sz w:val="22"/>
                <w:szCs w:val="22"/>
              </w:rPr>
            </w:pPr>
            <w:r w:rsidRPr="00A26D0C">
              <w:rPr>
                <w:rFonts w:ascii="Times New Roman" w:eastAsia="Calibri" w:hAnsi="Times New Roman"/>
                <w:sz w:val="22"/>
                <w:szCs w:val="22"/>
              </w:rPr>
              <w:t>Ne vėliau kaip per</w:t>
            </w:r>
            <w:r w:rsidRPr="00A26D0C">
              <w:rPr>
                <w:rFonts w:ascii="Times New Roman" w:eastAsia="Aptos" w:hAnsi="Times New Roman"/>
                <w:sz w:val="22"/>
                <w:szCs w:val="22"/>
                <w14:ligatures w14:val="standardContextual"/>
              </w:rPr>
              <w:t xml:space="preserve"> 150 k. d. nuo sutarties įsigaliojimo dienos</w:t>
            </w:r>
          </w:p>
        </w:tc>
        <w:tc>
          <w:tcPr>
            <w:tcW w:w="1269" w:type="dxa"/>
            <w:tcBorders>
              <w:top w:val="single" w:sz="4" w:space="0" w:color="auto"/>
              <w:left w:val="single" w:sz="4" w:space="0" w:color="auto"/>
              <w:right w:val="single" w:sz="12" w:space="0" w:color="auto"/>
            </w:tcBorders>
            <w:vAlign w:val="center"/>
          </w:tcPr>
          <w:p w14:paraId="77E338E2" w14:textId="77777777" w:rsidR="00A26D0C" w:rsidRPr="00A26D0C" w:rsidRDefault="00A26D0C" w:rsidP="00A26D0C">
            <w:pPr>
              <w:tabs>
                <w:tab w:val="left" w:pos="1134"/>
              </w:tabs>
              <w:overflowPunct w:val="0"/>
              <w:autoSpaceDE w:val="0"/>
              <w:autoSpaceDN w:val="0"/>
              <w:adjustRightInd w:val="0"/>
              <w:contextualSpacing/>
              <w:jc w:val="center"/>
              <w:textAlignment w:val="baseline"/>
              <w:rPr>
                <w:rFonts w:ascii="Times New Roman" w:eastAsia="Calibri" w:hAnsi="Times New Roman"/>
                <w:sz w:val="22"/>
                <w:szCs w:val="22"/>
                <w14:ligatures w14:val="standardContextual"/>
              </w:rPr>
            </w:pPr>
            <w:r w:rsidRPr="00A26D0C">
              <w:rPr>
                <w:rFonts w:ascii="Times New Roman" w:eastAsia="Calibri" w:hAnsi="Times New Roman"/>
                <w:sz w:val="22"/>
                <w:szCs w:val="22"/>
              </w:rPr>
              <w:t xml:space="preserve"> Vertinimo paslaugų teikėjas</w:t>
            </w:r>
          </w:p>
        </w:tc>
      </w:tr>
      <w:tr w:rsidR="00A26D0C" w:rsidRPr="00A26D0C" w14:paraId="0FF51D8E" w14:textId="77777777" w:rsidTr="00575222">
        <w:trPr>
          <w:trHeight w:val="60"/>
        </w:trPr>
        <w:tc>
          <w:tcPr>
            <w:tcW w:w="1133" w:type="dxa"/>
            <w:vMerge/>
            <w:tcBorders>
              <w:left w:val="single" w:sz="12" w:space="0" w:color="auto"/>
              <w:bottom w:val="single" w:sz="12" w:space="0" w:color="auto"/>
            </w:tcBorders>
            <w:vAlign w:val="center"/>
          </w:tcPr>
          <w:p w14:paraId="19FD3E38" w14:textId="77777777" w:rsidR="00A26D0C" w:rsidRPr="00A26D0C" w:rsidRDefault="00A26D0C" w:rsidP="00A26D0C">
            <w:pPr>
              <w:tabs>
                <w:tab w:val="left" w:pos="-2268"/>
                <w:tab w:val="left" w:pos="313"/>
              </w:tabs>
              <w:overflowPunct w:val="0"/>
              <w:autoSpaceDE w:val="0"/>
              <w:autoSpaceDN w:val="0"/>
              <w:adjustRightInd w:val="0"/>
              <w:ind w:left="389"/>
              <w:textAlignment w:val="baseline"/>
              <w:rPr>
                <w:rFonts w:ascii="Times New Roman" w:eastAsia="Aptos" w:hAnsi="Times New Roman"/>
                <w:sz w:val="22"/>
                <w:szCs w:val="22"/>
                <w14:ligatures w14:val="standardContextual"/>
              </w:rPr>
            </w:pPr>
          </w:p>
        </w:tc>
        <w:tc>
          <w:tcPr>
            <w:tcW w:w="2396" w:type="dxa"/>
            <w:tcBorders>
              <w:top w:val="single" w:sz="4" w:space="0" w:color="auto"/>
              <w:left w:val="single" w:sz="8" w:space="0" w:color="auto"/>
              <w:bottom w:val="single" w:sz="12" w:space="0" w:color="auto"/>
            </w:tcBorders>
            <w:vAlign w:val="center"/>
          </w:tcPr>
          <w:p w14:paraId="2348BA38" w14:textId="77777777" w:rsidR="00A26D0C" w:rsidRPr="00A26D0C" w:rsidRDefault="00A26D0C" w:rsidP="00A26D0C">
            <w:pPr>
              <w:numPr>
                <w:ilvl w:val="0"/>
                <w:numId w:val="41"/>
              </w:numPr>
              <w:tabs>
                <w:tab w:val="left" w:pos="-2268"/>
                <w:tab w:val="left" w:pos="307"/>
              </w:tabs>
              <w:overflowPunct w:val="0"/>
              <w:autoSpaceDE w:val="0"/>
              <w:autoSpaceDN w:val="0"/>
              <w:adjustRightInd w:val="0"/>
              <w:ind w:left="23" w:firstLine="0"/>
              <w:contextualSpacing/>
              <w:jc w:val="both"/>
              <w:textAlignment w:val="baseline"/>
              <w:rPr>
                <w:rFonts w:ascii="Times New Roman" w:eastAsia="Aptos" w:hAnsi="Times New Roman"/>
                <w:sz w:val="22"/>
                <w:szCs w:val="22"/>
                <w14:ligatures w14:val="standardContextual"/>
              </w:rPr>
            </w:pPr>
            <w:r w:rsidRPr="00A26D0C">
              <w:rPr>
                <w:rFonts w:ascii="Times New Roman" w:eastAsia="Aptos" w:hAnsi="Times New Roman"/>
                <w:sz w:val="22"/>
                <w:szCs w:val="22"/>
                <w14:ligatures w14:val="standardContextual"/>
              </w:rPr>
              <w:t>Vertinimo rezultatų pristatymas</w:t>
            </w:r>
          </w:p>
        </w:tc>
        <w:tc>
          <w:tcPr>
            <w:tcW w:w="4810" w:type="dxa"/>
            <w:tcBorders>
              <w:top w:val="single" w:sz="4" w:space="0" w:color="auto"/>
              <w:bottom w:val="single" w:sz="12" w:space="0" w:color="auto"/>
            </w:tcBorders>
            <w:vAlign w:val="center"/>
          </w:tcPr>
          <w:p w14:paraId="381CC1F2" w14:textId="77777777" w:rsidR="00A26D0C" w:rsidRPr="00A26D0C" w:rsidRDefault="00A26D0C" w:rsidP="00A26D0C">
            <w:pPr>
              <w:tabs>
                <w:tab w:val="left" w:pos="-2268"/>
                <w:tab w:val="left" w:pos="1134"/>
              </w:tabs>
              <w:overflowPunct w:val="0"/>
              <w:autoSpaceDE w:val="0"/>
              <w:autoSpaceDN w:val="0"/>
              <w:adjustRightInd w:val="0"/>
              <w:contextualSpacing/>
              <w:jc w:val="both"/>
              <w:textAlignment w:val="baseline"/>
              <w:rPr>
                <w:rFonts w:ascii="Times New Roman" w:eastAsia="Aptos" w:hAnsi="Times New Roman"/>
                <w:sz w:val="22"/>
                <w:szCs w:val="22"/>
                <w14:ligatures w14:val="standardContextual"/>
              </w:rPr>
            </w:pPr>
            <w:r w:rsidRPr="00A26D0C">
              <w:rPr>
                <w:rFonts w:ascii="Times New Roman" w:eastAsia="Aptos" w:hAnsi="Times New Roman"/>
                <w:sz w:val="22"/>
                <w:szCs w:val="22"/>
                <w14:ligatures w14:val="standardContextual"/>
              </w:rPr>
              <w:t>Po galutinės vertinimo ataskaitos pateikimo, sutartu su Užsakovu metu</w:t>
            </w:r>
          </w:p>
        </w:tc>
        <w:tc>
          <w:tcPr>
            <w:tcW w:w="1269" w:type="dxa"/>
            <w:tcBorders>
              <w:top w:val="single" w:sz="4" w:space="0" w:color="auto"/>
              <w:bottom w:val="single" w:sz="12" w:space="0" w:color="auto"/>
              <w:right w:val="single" w:sz="12" w:space="0" w:color="auto"/>
            </w:tcBorders>
            <w:vAlign w:val="center"/>
          </w:tcPr>
          <w:p w14:paraId="42494551" w14:textId="77777777" w:rsidR="00A26D0C" w:rsidRPr="00A26D0C" w:rsidRDefault="00A26D0C" w:rsidP="00A26D0C">
            <w:pPr>
              <w:tabs>
                <w:tab w:val="left" w:pos="1134"/>
              </w:tabs>
              <w:overflowPunct w:val="0"/>
              <w:autoSpaceDE w:val="0"/>
              <w:autoSpaceDN w:val="0"/>
              <w:adjustRightInd w:val="0"/>
              <w:contextualSpacing/>
              <w:jc w:val="center"/>
              <w:textAlignment w:val="baseline"/>
              <w:rPr>
                <w:rFonts w:ascii="Times New Roman" w:eastAsia="Calibri" w:hAnsi="Times New Roman"/>
                <w:sz w:val="22"/>
                <w:szCs w:val="22"/>
                <w14:ligatures w14:val="standardContextual"/>
              </w:rPr>
            </w:pPr>
            <w:r w:rsidRPr="00A26D0C">
              <w:rPr>
                <w:rFonts w:ascii="Times New Roman" w:eastAsia="Calibri" w:hAnsi="Times New Roman"/>
                <w:sz w:val="22"/>
                <w:szCs w:val="22"/>
              </w:rPr>
              <w:t>Vertinimo paslaugų teikėjas</w:t>
            </w:r>
          </w:p>
        </w:tc>
      </w:tr>
    </w:tbl>
    <w:p w14:paraId="497B7DFE" w14:textId="77777777" w:rsidR="00A26D0C" w:rsidRPr="00A26D0C" w:rsidRDefault="00A26D0C" w:rsidP="0029712E">
      <w:pPr>
        <w:numPr>
          <w:ilvl w:val="1"/>
          <w:numId w:val="43"/>
        </w:numPr>
        <w:overflowPunct w:val="0"/>
        <w:autoSpaceDE w:val="0"/>
        <w:autoSpaceDN w:val="0"/>
        <w:adjustRightInd w:val="0"/>
        <w:spacing w:after="0"/>
        <w:ind w:left="0" w:firstLine="709"/>
        <w:contextualSpacing/>
        <w:jc w:val="both"/>
        <w:textAlignment w:val="baseline"/>
        <w:rPr>
          <w:rFonts w:ascii="Times New Roman" w:eastAsia="Calibri" w:hAnsi="Times New Roman" w:cs="Times New Roman"/>
          <w:sz w:val="24"/>
          <w:szCs w:val="24"/>
          <w:lang w:eastAsia="en-US"/>
        </w:rPr>
      </w:pPr>
      <w:r w:rsidRPr="00A26D0C">
        <w:rPr>
          <w:rFonts w:ascii="Times New Roman" w:eastAsia="Calibri" w:hAnsi="Times New Roman" w:cs="Times New Roman"/>
          <w:b/>
          <w:bCs/>
          <w:sz w:val="24"/>
          <w:szCs w:val="24"/>
          <w:lang w:eastAsia="en-US"/>
        </w:rPr>
        <w:t>įvadinis susitikimas</w:t>
      </w:r>
      <w:r w:rsidRPr="00A26D0C">
        <w:rPr>
          <w:rFonts w:ascii="Times New Roman" w:eastAsia="Calibri" w:hAnsi="Times New Roman" w:cs="Times New Roman"/>
          <w:sz w:val="24"/>
          <w:szCs w:val="24"/>
          <w:lang w:eastAsia="en-US"/>
        </w:rPr>
        <w:t xml:space="preserve"> turi būti suorganizuotas ne vėliau kaip per 14 kalendorinių dienų nuo sutarties tarp vertinimo paslaugų teikėjo ir Ministerijos atstovų įsigaliojimo dienos. Susitikimo metu turės būti aptartos planuojamos vertinimo veiklos, vertinimo metodika, vertinimo poreikis, prielaidos ir rizikos, taip pat suderinti Užsakovo ir vertinimo paslaugų teikėjo lūkesčiai bei galimybės, aptartos atsakomybės, komunikacijos kanalai;</w:t>
      </w:r>
    </w:p>
    <w:p w14:paraId="219D55F6" w14:textId="77777777" w:rsidR="00A26D0C" w:rsidRPr="00A26D0C" w:rsidRDefault="00A26D0C" w:rsidP="0029712E">
      <w:pPr>
        <w:numPr>
          <w:ilvl w:val="1"/>
          <w:numId w:val="43"/>
        </w:numPr>
        <w:overflowPunct w:val="0"/>
        <w:autoSpaceDE w:val="0"/>
        <w:autoSpaceDN w:val="0"/>
        <w:adjustRightInd w:val="0"/>
        <w:spacing w:after="0"/>
        <w:ind w:left="0" w:firstLine="709"/>
        <w:contextualSpacing/>
        <w:jc w:val="both"/>
        <w:textAlignment w:val="baseline"/>
        <w:rPr>
          <w:rFonts w:ascii="Times New Roman" w:eastAsia="Calibri" w:hAnsi="Times New Roman" w:cs="Times New Roman"/>
          <w:sz w:val="24"/>
          <w:szCs w:val="24"/>
          <w:lang w:eastAsia="en-US"/>
        </w:rPr>
      </w:pPr>
      <w:r w:rsidRPr="00A26D0C">
        <w:rPr>
          <w:rFonts w:ascii="Times New Roman" w:eastAsia="Times New Roman" w:hAnsi="Times New Roman" w:cs="Times New Roman"/>
          <w:b/>
          <w:bCs/>
          <w:sz w:val="24"/>
          <w:szCs w:val="24"/>
          <w:lang w:eastAsia="en-US"/>
          <w14:ligatures w14:val="standardContextual"/>
        </w:rPr>
        <w:t>įvadinė vertinimo ataskaita</w:t>
      </w:r>
      <w:r w:rsidRPr="00A26D0C">
        <w:rPr>
          <w:rFonts w:ascii="Times New Roman" w:eastAsia="Times New Roman" w:hAnsi="Times New Roman" w:cs="Times New Roman"/>
          <w:sz w:val="24"/>
          <w:szCs w:val="24"/>
          <w:lang w:eastAsia="en-US"/>
          <w14:ligatures w14:val="standardContextual"/>
        </w:rPr>
        <w:t xml:space="preserve"> pateikiama ne vėliau kaip per 30 kalendorinių dienų nuo Sutarties įsigaliojimo dienos. Įvadinėje vertinimo ataskaitoje turi būti aprašytos vertinimo veiklos, jų atlikimo etapai ir tvarkaraštis, ekspertų priskyrimas vertinimo veikloms, atsižvelgiant į pasiūlyme nurodytas ir kitas jų turimas kompetencijas; nurodyta ir paaiškinta vertinimui taikytina vertinimo metodika, be kita ko, atlikta teorinės bei empirinės literatūros apžvalga; detalizuoti vertinimo klausimai ir sprendimo kriterijai; nurodyti vertinimo metodai, duomenų ir informacijos šaltiniai, duomenų rinkimui ir vertinimo metodų įgyvendinimui reikalingų priemonių aprašymas (pavyzdžiui, klausimynai, galimų respondentų sąrašai, apklausų tvarkaraščiai ir kt.); kiti su Užsakovu įvadinio susitikimo metu aptarti vertinimo organizavimo ir įgyvendinimo klausimai. </w:t>
      </w:r>
      <w:r w:rsidRPr="00A26D0C">
        <w:rPr>
          <w:rFonts w:ascii="Times New Roman" w:eastAsia="Calibri" w:hAnsi="Times New Roman" w:cs="Times New Roman"/>
          <w:sz w:val="24"/>
          <w:szCs w:val="24"/>
          <w:lang w:eastAsia="en-US"/>
        </w:rPr>
        <w:t xml:space="preserve">Per 14 </w:t>
      </w:r>
      <w:r w:rsidRPr="00A26D0C">
        <w:rPr>
          <w:rFonts w:ascii="Times New Roman" w:eastAsia="Times New Roman" w:hAnsi="Times New Roman" w:cs="Times New Roman"/>
          <w:sz w:val="24"/>
          <w:szCs w:val="24"/>
          <w:lang w:eastAsia="en-US"/>
          <w14:ligatures w14:val="standardContextual"/>
        </w:rPr>
        <w:t>kalendorinių dienų</w:t>
      </w:r>
      <w:r w:rsidRPr="00A26D0C">
        <w:rPr>
          <w:rFonts w:ascii="Times New Roman" w:eastAsia="Calibri" w:hAnsi="Times New Roman" w:cs="Times New Roman"/>
          <w:sz w:val="24"/>
          <w:szCs w:val="24"/>
          <w:lang w:eastAsia="en-US"/>
        </w:rPr>
        <w:t xml:space="preserve"> nuo Įvadinės ataskaitos pateikimo Užsakovas pateiks pastabas, į kurias turės būti atsižvelgta arba pateiktas pagrindimas kodėl neatsižvelgta;</w:t>
      </w:r>
    </w:p>
    <w:p w14:paraId="2BF78C4B" w14:textId="77777777" w:rsidR="00A26D0C" w:rsidRPr="00A26D0C" w:rsidRDefault="00A26D0C" w:rsidP="0029712E">
      <w:pPr>
        <w:numPr>
          <w:ilvl w:val="1"/>
          <w:numId w:val="43"/>
        </w:numPr>
        <w:overflowPunct w:val="0"/>
        <w:autoSpaceDE w:val="0"/>
        <w:autoSpaceDN w:val="0"/>
        <w:adjustRightInd w:val="0"/>
        <w:spacing w:after="0"/>
        <w:ind w:left="0" w:firstLine="709"/>
        <w:contextualSpacing/>
        <w:jc w:val="both"/>
        <w:textAlignment w:val="baseline"/>
        <w:rPr>
          <w:rFonts w:ascii="Times New Roman" w:eastAsia="Times New Roman" w:hAnsi="Times New Roman" w:cs="Times New Roman"/>
          <w:b/>
          <w:bCs/>
          <w:color w:val="000000"/>
          <w:sz w:val="24"/>
          <w:szCs w:val="24"/>
        </w:rPr>
      </w:pPr>
      <w:r w:rsidRPr="00A26D0C">
        <w:rPr>
          <w:rFonts w:ascii="Times New Roman" w:eastAsia="Calibri" w:hAnsi="Times New Roman" w:cs="Times New Roman"/>
          <w:b/>
          <w:bCs/>
          <w:sz w:val="24"/>
          <w:szCs w:val="24"/>
          <w:lang w:eastAsia="en-US"/>
        </w:rPr>
        <w:t>tarpinė vertinimo ataskaita</w:t>
      </w:r>
      <w:r w:rsidRPr="00A26D0C">
        <w:rPr>
          <w:rFonts w:ascii="Times New Roman" w:eastAsia="Calibri" w:hAnsi="Times New Roman" w:cs="Times New Roman"/>
          <w:sz w:val="24"/>
          <w:szCs w:val="24"/>
          <w:lang w:eastAsia="en-US"/>
        </w:rPr>
        <w:t xml:space="preserve"> – ne vėliau kaip per 80 </w:t>
      </w:r>
      <w:r w:rsidRPr="00A26D0C">
        <w:rPr>
          <w:rFonts w:ascii="Times New Roman" w:eastAsia="Times New Roman" w:hAnsi="Times New Roman" w:cs="Times New Roman"/>
          <w:sz w:val="24"/>
          <w:szCs w:val="24"/>
          <w:lang w:eastAsia="en-US"/>
          <w14:ligatures w14:val="standardContextual"/>
        </w:rPr>
        <w:t>kalendorinių dienų</w:t>
      </w:r>
      <w:r w:rsidRPr="00A26D0C">
        <w:rPr>
          <w:rFonts w:ascii="Times New Roman" w:eastAsia="Calibri" w:hAnsi="Times New Roman" w:cs="Times New Roman"/>
          <w:sz w:val="24"/>
          <w:szCs w:val="24"/>
          <w:lang w:eastAsia="en-US"/>
        </w:rPr>
        <w:t xml:space="preserve"> nuo sutarties įsigaliojimo dienos vertinimo paslaugų teikėjas Užsakovui pateikia tarpinę vertinimo ataskaitą. Šioje ataskaitoje pateikiami preliminarūs analizės rezultatai ir atsakymai į Techninės specifikacijos 9 punkto papunkčiuose nurodytų vertinimo uždavinių klausimus. Per 7 </w:t>
      </w:r>
      <w:r w:rsidRPr="00A26D0C">
        <w:rPr>
          <w:rFonts w:ascii="Times New Roman" w:eastAsia="Times New Roman" w:hAnsi="Times New Roman" w:cs="Times New Roman"/>
          <w:sz w:val="24"/>
          <w:szCs w:val="24"/>
          <w:lang w:eastAsia="en-US"/>
          <w14:ligatures w14:val="standardContextual"/>
        </w:rPr>
        <w:t>kalendorines dienas</w:t>
      </w:r>
      <w:r w:rsidRPr="00A26D0C">
        <w:rPr>
          <w:rFonts w:ascii="Times New Roman" w:eastAsia="Calibri" w:hAnsi="Times New Roman" w:cs="Times New Roman"/>
          <w:sz w:val="24"/>
          <w:szCs w:val="24"/>
          <w:lang w:eastAsia="en-US"/>
        </w:rPr>
        <w:t xml:space="preserve"> nuo tarpinės vertinimo ataskaitos pateikimo turi būti suorganizuotas tarpinių vertinimo rezultatų pristatymas. Per 14 </w:t>
      </w:r>
      <w:r w:rsidRPr="00A26D0C">
        <w:rPr>
          <w:rFonts w:ascii="Times New Roman" w:eastAsia="Times New Roman" w:hAnsi="Times New Roman" w:cs="Times New Roman"/>
          <w:sz w:val="24"/>
          <w:szCs w:val="24"/>
          <w:lang w:eastAsia="en-US"/>
          <w14:ligatures w14:val="standardContextual"/>
        </w:rPr>
        <w:t>kalendorinių dienų</w:t>
      </w:r>
      <w:r w:rsidRPr="00A26D0C">
        <w:rPr>
          <w:rFonts w:ascii="Times New Roman" w:eastAsia="Calibri" w:hAnsi="Times New Roman" w:cs="Times New Roman"/>
          <w:sz w:val="24"/>
          <w:szCs w:val="24"/>
          <w:lang w:eastAsia="en-US"/>
        </w:rPr>
        <w:t xml:space="preserve"> nuo tarpinės ataskaitos pristatymo Užsakovas pateiks pastabas, į kurias turės būti atsižvelgta galutinėje vertinimo ataskaitoje arba pateiktas pagrindimas kodėl neatsižvelgta;</w:t>
      </w:r>
    </w:p>
    <w:p w14:paraId="52CDEF7D" w14:textId="77777777" w:rsidR="00A26D0C" w:rsidRPr="00A26D0C" w:rsidRDefault="00A26D0C" w:rsidP="0029712E">
      <w:pPr>
        <w:numPr>
          <w:ilvl w:val="1"/>
          <w:numId w:val="43"/>
        </w:numPr>
        <w:overflowPunct w:val="0"/>
        <w:autoSpaceDE w:val="0"/>
        <w:autoSpaceDN w:val="0"/>
        <w:adjustRightInd w:val="0"/>
        <w:spacing w:after="200"/>
        <w:ind w:left="0" w:firstLine="709"/>
        <w:contextualSpacing/>
        <w:jc w:val="both"/>
        <w:textAlignment w:val="baseline"/>
        <w:rPr>
          <w:rFonts w:ascii="Times New Roman" w:eastAsia="Times New Roman" w:hAnsi="Times New Roman" w:cs="Times New Roman"/>
          <w:b/>
          <w:bCs/>
          <w:sz w:val="24"/>
          <w:szCs w:val="24"/>
          <w:lang w:eastAsia="en-US"/>
        </w:rPr>
      </w:pPr>
      <w:r w:rsidRPr="00A26D0C">
        <w:rPr>
          <w:rFonts w:ascii="Times New Roman" w:eastAsia="Times New Roman" w:hAnsi="Times New Roman" w:cs="Times New Roman"/>
          <w:b/>
          <w:bCs/>
          <w:sz w:val="24"/>
          <w:szCs w:val="24"/>
          <w:lang w:eastAsia="en-US"/>
          <w14:ligatures w14:val="standardContextual"/>
        </w:rPr>
        <w:t>galutinės vertinimo ataskaitos projektas –</w:t>
      </w:r>
      <w:r w:rsidRPr="00A26D0C">
        <w:rPr>
          <w:rFonts w:ascii="Times New Roman" w:eastAsia="Times New Roman" w:hAnsi="Times New Roman" w:cs="Times New Roman"/>
          <w:sz w:val="24"/>
          <w:szCs w:val="24"/>
          <w:lang w:eastAsia="en-US"/>
          <w14:ligatures w14:val="standardContextual"/>
        </w:rPr>
        <w:t xml:space="preserve"> vertinimo</w:t>
      </w:r>
      <w:r w:rsidRPr="00A26D0C">
        <w:rPr>
          <w:rFonts w:ascii="Times New Roman" w:eastAsia="Times New Roman" w:hAnsi="Times New Roman" w:cs="Times New Roman"/>
          <w:b/>
          <w:bCs/>
          <w:sz w:val="24"/>
          <w:szCs w:val="24"/>
          <w:lang w:eastAsia="en-US"/>
          <w14:ligatures w14:val="standardContextual"/>
        </w:rPr>
        <w:t xml:space="preserve"> </w:t>
      </w:r>
      <w:r w:rsidRPr="00A26D0C">
        <w:rPr>
          <w:rFonts w:ascii="Times New Roman" w:eastAsia="Times New Roman" w:hAnsi="Times New Roman" w:cs="Times New Roman"/>
          <w:sz w:val="24"/>
          <w:szCs w:val="24"/>
          <w:lang w:eastAsia="en-US"/>
          <w14:ligatures w14:val="standardContextual"/>
        </w:rPr>
        <w:t>paslaugų teikėjas pateikia galutinės vertinimo ataskaitos projektą Užsakovui ne vėliau kaip per 120 kalendorinių dienų nuo sutarties</w:t>
      </w:r>
      <w:r w:rsidRPr="00A26D0C">
        <w:rPr>
          <w:rFonts w:ascii="Times New Roman" w:eastAsia="Times New Roman" w:hAnsi="Times New Roman" w:cs="Times New Roman"/>
          <w:sz w:val="24"/>
          <w:szCs w:val="24"/>
          <w:lang w:eastAsia="en-US"/>
        </w:rPr>
        <w:t xml:space="preserve"> įsigaliojimo</w:t>
      </w:r>
      <w:r w:rsidRPr="00A26D0C">
        <w:rPr>
          <w:rFonts w:ascii="Times New Roman" w:eastAsia="Times New Roman" w:hAnsi="Times New Roman" w:cs="Times New Roman"/>
          <w:sz w:val="24"/>
          <w:szCs w:val="24"/>
          <w:lang w:eastAsia="en-US"/>
          <w14:ligatures w14:val="standardContextual"/>
        </w:rPr>
        <w:t xml:space="preserve"> dienos. Šioje ataskaitoje pateikiami analizės rezultatai, rezultatais pagrįstos išvados ir rekomendacijos bei atlikti pataisymai atsižvelgiant į pastabas gautas po tarpinės ataskaitos pateikimo. </w:t>
      </w:r>
      <w:r w:rsidRPr="00A26D0C">
        <w:rPr>
          <w:rFonts w:ascii="Times New Roman" w:eastAsia="Calibri" w:hAnsi="Times New Roman" w:cs="Times New Roman"/>
          <w:sz w:val="24"/>
          <w:szCs w:val="24"/>
          <w:lang w:eastAsia="en-US"/>
        </w:rPr>
        <w:t xml:space="preserve">Per 14 kalendorinių dienų nuo galutinės vertinimo ataskaitos projekto pateikimo Užsakovas pateikia pastabas, į kurias turės būti atsižvelgta galutinėje vertinimo ataskaitoje arba pateiktas pagrindimas kodėl neatsižvelgta; </w:t>
      </w:r>
    </w:p>
    <w:p w14:paraId="41696ADF" w14:textId="77777777" w:rsidR="00A26D0C" w:rsidRPr="00A26D0C" w:rsidRDefault="00A26D0C" w:rsidP="0029712E">
      <w:pPr>
        <w:numPr>
          <w:ilvl w:val="1"/>
          <w:numId w:val="43"/>
        </w:numPr>
        <w:overflowPunct w:val="0"/>
        <w:autoSpaceDE w:val="0"/>
        <w:autoSpaceDN w:val="0"/>
        <w:adjustRightInd w:val="0"/>
        <w:spacing w:after="0"/>
        <w:ind w:left="0" w:firstLine="709"/>
        <w:contextualSpacing/>
        <w:jc w:val="both"/>
        <w:textAlignment w:val="baseline"/>
        <w:rPr>
          <w:rFonts w:ascii="Times New Roman" w:eastAsia="Calibri" w:hAnsi="Times New Roman" w:cs="Times New Roman"/>
          <w:sz w:val="24"/>
          <w:szCs w:val="24"/>
          <w:lang w:eastAsia="en-US"/>
        </w:rPr>
      </w:pPr>
      <w:r w:rsidRPr="00A26D0C">
        <w:rPr>
          <w:rFonts w:ascii="Times New Roman" w:eastAsia="Times New Roman" w:hAnsi="Times New Roman" w:cs="Times New Roman"/>
          <w:b/>
          <w:bCs/>
          <w:sz w:val="24"/>
          <w:szCs w:val="24"/>
          <w:lang w:eastAsia="en-US"/>
          <w14:ligatures w14:val="standardContextual"/>
        </w:rPr>
        <w:lastRenderedPageBreak/>
        <w:t xml:space="preserve">galutinė vertinimo ataskaita </w:t>
      </w:r>
      <w:r w:rsidRPr="00A26D0C">
        <w:rPr>
          <w:rFonts w:ascii="Times New Roman" w:eastAsia="Calibri" w:hAnsi="Times New Roman" w:cs="Times New Roman"/>
          <w:sz w:val="24"/>
          <w:szCs w:val="24"/>
          <w:lang w:eastAsia="en-US"/>
        </w:rPr>
        <w:t>–</w:t>
      </w:r>
      <w:r w:rsidRPr="00A26D0C">
        <w:rPr>
          <w:rFonts w:ascii="Times New Roman" w:eastAsia="Times New Roman" w:hAnsi="Times New Roman" w:cs="Times New Roman"/>
          <w:b/>
          <w:bCs/>
          <w:sz w:val="24"/>
          <w:szCs w:val="24"/>
          <w:lang w:eastAsia="en-US"/>
          <w14:ligatures w14:val="standardContextual"/>
        </w:rPr>
        <w:t xml:space="preserve"> </w:t>
      </w:r>
      <w:r w:rsidRPr="00A26D0C">
        <w:rPr>
          <w:rFonts w:ascii="Times New Roman" w:eastAsia="Times New Roman" w:hAnsi="Times New Roman" w:cs="Times New Roman"/>
          <w:sz w:val="24"/>
          <w:szCs w:val="24"/>
          <w:lang w:eastAsia="en-US"/>
          <w14:ligatures w14:val="standardContextual"/>
        </w:rPr>
        <w:t xml:space="preserve">ne vėliau kaip per 150 kalendorinių dienų nuo sutarties </w:t>
      </w:r>
      <w:r w:rsidRPr="00A26D0C">
        <w:rPr>
          <w:rFonts w:ascii="Times New Roman" w:eastAsia="Times New Roman" w:hAnsi="Times New Roman" w:cs="Times New Roman"/>
          <w:sz w:val="24"/>
          <w:szCs w:val="24"/>
          <w:lang w:eastAsia="en-US"/>
        </w:rPr>
        <w:t xml:space="preserve">įsigaliojimo </w:t>
      </w:r>
      <w:r w:rsidRPr="00A26D0C">
        <w:rPr>
          <w:rFonts w:ascii="Times New Roman" w:eastAsia="Times New Roman" w:hAnsi="Times New Roman" w:cs="Times New Roman"/>
          <w:sz w:val="24"/>
          <w:szCs w:val="24"/>
          <w:lang w:eastAsia="en-US"/>
          <w14:ligatures w14:val="standardContextual"/>
        </w:rPr>
        <w:t>dienos vertinimo paslaugų teikėjas pateikia Užsakovui galutinę vertinimo ataskaitą.</w:t>
      </w:r>
      <w:r w:rsidRPr="00A26D0C">
        <w:rPr>
          <w:rFonts w:ascii="Times New Roman" w:eastAsia="Calibri" w:hAnsi="Times New Roman" w:cs="Times New Roman"/>
          <w:sz w:val="24"/>
          <w:szCs w:val="24"/>
          <w:lang w:eastAsia="en-US"/>
        </w:rPr>
        <w:t xml:space="preserve"> </w:t>
      </w:r>
      <w:r w:rsidRPr="00A26D0C">
        <w:rPr>
          <w:rFonts w:ascii="Times New Roman" w:eastAsia="Times New Roman" w:hAnsi="Times New Roman" w:cs="Times New Roman"/>
          <w:sz w:val="24"/>
          <w:szCs w:val="24"/>
          <w:lang w:eastAsia="en-US"/>
          <w14:ligatures w14:val="standardContextual"/>
        </w:rPr>
        <w:t xml:space="preserve">Kartu su galutine vertinimo ataskaita pateikiama jos santrauka lietuvių kalba (iki 10 puslapių (A4 formato)) ir anglų kalba (iki 5 puslapių (A4 formato)). </w:t>
      </w:r>
      <w:r w:rsidRPr="00A26D0C">
        <w:rPr>
          <w:rFonts w:ascii="Times New Roman" w:eastAsia="Times New Roman" w:hAnsi="Times New Roman" w:cs="Times New Roman"/>
          <w:sz w:val="24"/>
          <w:szCs w:val="24"/>
          <w:lang w:eastAsia="en-US"/>
        </w:rPr>
        <w:t>Orientacinis galutinės vertinimo ataskaitos turinys:</w:t>
      </w:r>
    </w:p>
    <w:p w14:paraId="0435CC66" w14:textId="77777777" w:rsidR="00A26D0C" w:rsidRPr="00A26D0C" w:rsidRDefault="00A26D0C" w:rsidP="0029712E">
      <w:pPr>
        <w:numPr>
          <w:ilvl w:val="2"/>
          <w:numId w:val="43"/>
        </w:numPr>
        <w:tabs>
          <w:tab w:val="left" w:pos="-2268"/>
          <w:tab w:val="left" w:pos="1701"/>
        </w:tabs>
        <w:overflowPunct w:val="0"/>
        <w:autoSpaceDE w:val="0"/>
        <w:autoSpaceDN w:val="0"/>
        <w:adjustRightInd w:val="0"/>
        <w:spacing w:after="200"/>
        <w:ind w:left="0" w:firstLine="709"/>
        <w:contextualSpacing/>
        <w:jc w:val="both"/>
        <w:textAlignment w:val="baseline"/>
        <w:rPr>
          <w:rFonts w:ascii="Times New Roman" w:eastAsia="Aptos" w:hAnsi="Times New Roman" w:cs="Times New Roman"/>
          <w:sz w:val="24"/>
          <w:szCs w:val="24"/>
          <w:lang w:eastAsia="en-US"/>
          <w14:ligatures w14:val="standardContextual"/>
        </w:rPr>
      </w:pPr>
      <w:r w:rsidRPr="00A26D0C">
        <w:rPr>
          <w:rFonts w:ascii="Times New Roman" w:eastAsia="Calibri" w:hAnsi="Times New Roman" w:cs="Times New Roman"/>
          <w:sz w:val="24"/>
          <w:szCs w:val="24"/>
          <w:lang w:eastAsia="en-US"/>
        </w:rPr>
        <w:t>įvadas, vertinimo kontekstas;</w:t>
      </w:r>
    </w:p>
    <w:p w14:paraId="1EEF214D" w14:textId="77777777" w:rsidR="00A26D0C" w:rsidRPr="00A26D0C" w:rsidRDefault="00A26D0C" w:rsidP="0029712E">
      <w:pPr>
        <w:numPr>
          <w:ilvl w:val="2"/>
          <w:numId w:val="43"/>
        </w:numPr>
        <w:tabs>
          <w:tab w:val="left" w:pos="-2268"/>
          <w:tab w:val="left" w:pos="1701"/>
        </w:tabs>
        <w:overflowPunct w:val="0"/>
        <w:autoSpaceDE w:val="0"/>
        <w:autoSpaceDN w:val="0"/>
        <w:adjustRightInd w:val="0"/>
        <w:spacing w:after="200"/>
        <w:ind w:left="0" w:firstLine="709"/>
        <w:contextualSpacing/>
        <w:jc w:val="both"/>
        <w:textAlignment w:val="baseline"/>
        <w:rPr>
          <w:rFonts w:ascii="Times New Roman" w:eastAsia="Aptos" w:hAnsi="Times New Roman" w:cs="Times New Roman"/>
          <w:sz w:val="24"/>
          <w:szCs w:val="24"/>
          <w:lang w:eastAsia="en-US"/>
          <w14:ligatures w14:val="standardContextual"/>
        </w:rPr>
      </w:pPr>
      <w:r w:rsidRPr="00A26D0C">
        <w:rPr>
          <w:rFonts w:ascii="Times New Roman" w:eastAsia="Calibri" w:hAnsi="Times New Roman" w:cs="Times New Roman"/>
          <w:sz w:val="24"/>
          <w:szCs w:val="24"/>
          <w:lang w:eastAsia="en-US"/>
        </w:rPr>
        <w:t>vertinime taikyta vertinimo metodika;</w:t>
      </w:r>
    </w:p>
    <w:p w14:paraId="56DD3BF2" w14:textId="77777777" w:rsidR="00A26D0C" w:rsidRPr="00A26D0C" w:rsidRDefault="00A26D0C" w:rsidP="0029712E">
      <w:pPr>
        <w:numPr>
          <w:ilvl w:val="2"/>
          <w:numId w:val="43"/>
        </w:numPr>
        <w:tabs>
          <w:tab w:val="left" w:pos="-2268"/>
          <w:tab w:val="left" w:pos="1701"/>
        </w:tabs>
        <w:overflowPunct w:val="0"/>
        <w:autoSpaceDE w:val="0"/>
        <w:autoSpaceDN w:val="0"/>
        <w:adjustRightInd w:val="0"/>
        <w:spacing w:after="200"/>
        <w:ind w:left="0" w:firstLine="709"/>
        <w:contextualSpacing/>
        <w:jc w:val="both"/>
        <w:textAlignment w:val="baseline"/>
        <w:rPr>
          <w:rFonts w:ascii="Times New Roman" w:eastAsia="Aptos" w:hAnsi="Times New Roman" w:cs="Times New Roman"/>
          <w:sz w:val="24"/>
          <w:szCs w:val="24"/>
          <w:lang w:eastAsia="en-US"/>
          <w14:ligatures w14:val="standardContextual"/>
        </w:rPr>
      </w:pPr>
      <w:r w:rsidRPr="00A26D0C">
        <w:rPr>
          <w:rFonts w:ascii="Times New Roman" w:eastAsia="Calibri" w:hAnsi="Times New Roman" w:cs="Times New Roman"/>
          <w:sz w:val="24"/>
          <w:szCs w:val="24"/>
          <w:lang w:eastAsia="en-US"/>
        </w:rPr>
        <w:t>atsakymai į Techninės specifikacijos 9 punkte pateiktus vertinimo klausimus;</w:t>
      </w:r>
    </w:p>
    <w:p w14:paraId="00519CDE" w14:textId="77777777" w:rsidR="00A26D0C" w:rsidRPr="00A26D0C" w:rsidRDefault="00A26D0C" w:rsidP="0029712E">
      <w:pPr>
        <w:numPr>
          <w:ilvl w:val="2"/>
          <w:numId w:val="43"/>
        </w:numPr>
        <w:tabs>
          <w:tab w:val="left" w:pos="-2268"/>
          <w:tab w:val="left" w:pos="1701"/>
        </w:tabs>
        <w:overflowPunct w:val="0"/>
        <w:autoSpaceDE w:val="0"/>
        <w:autoSpaceDN w:val="0"/>
        <w:adjustRightInd w:val="0"/>
        <w:spacing w:after="200"/>
        <w:ind w:left="0" w:firstLine="709"/>
        <w:contextualSpacing/>
        <w:jc w:val="both"/>
        <w:textAlignment w:val="baseline"/>
        <w:rPr>
          <w:rFonts w:ascii="Times New Roman" w:eastAsia="Aptos" w:hAnsi="Times New Roman" w:cs="Times New Roman"/>
          <w:sz w:val="24"/>
          <w:szCs w:val="24"/>
          <w:lang w:eastAsia="en-US"/>
          <w14:ligatures w14:val="standardContextual"/>
        </w:rPr>
      </w:pPr>
      <w:r w:rsidRPr="00A26D0C">
        <w:rPr>
          <w:rFonts w:ascii="Times New Roman" w:eastAsia="Calibri" w:hAnsi="Times New Roman" w:cs="Times New Roman"/>
          <w:sz w:val="24"/>
          <w:szCs w:val="24"/>
          <w:lang w:eastAsia="en-US"/>
        </w:rPr>
        <w:t>išvados ir rekomendacijos;</w:t>
      </w:r>
    </w:p>
    <w:p w14:paraId="55FB9DFB" w14:textId="77777777" w:rsidR="00A26D0C" w:rsidRPr="00A26D0C" w:rsidRDefault="00A26D0C" w:rsidP="0029712E">
      <w:pPr>
        <w:numPr>
          <w:ilvl w:val="2"/>
          <w:numId w:val="43"/>
        </w:numPr>
        <w:tabs>
          <w:tab w:val="left" w:pos="-2268"/>
          <w:tab w:val="left" w:pos="1701"/>
        </w:tabs>
        <w:overflowPunct w:val="0"/>
        <w:autoSpaceDE w:val="0"/>
        <w:autoSpaceDN w:val="0"/>
        <w:adjustRightInd w:val="0"/>
        <w:spacing w:after="200"/>
        <w:ind w:left="0" w:firstLine="709"/>
        <w:contextualSpacing/>
        <w:jc w:val="both"/>
        <w:textAlignment w:val="baseline"/>
        <w:rPr>
          <w:rFonts w:ascii="Times New Roman" w:eastAsia="Aptos" w:hAnsi="Times New Roman" w:cs="Times New Roman"/>
          <w:sz w:val="24"/>
          <w:szCs w:val="24"/>
          <w:lang w:eastAsia="en-US"/>
          <w14:ligatures w14:val="standardContextual"/>
        </w:rPr>
      </w:pPr>
      <w:r w:rsidRPr="00A26D0C">
        <w:rPr>
          <w:rFonts w:ascii="Times New Roman" w:eastAsia="Calibri" w:hAnsi="Times New Roman" w:cs="Times New Roman"/>
          <w:sz w:val="24"/>
          <w:szCs w:val="24"/>
          <w:lang w:eastAsia="en-US"/>
        </w:rPr>
        <w:t>literatūra ir šaltiniai;</w:t>
      </w:r>
    </w:p>
    <w:p w14:paraId="30E87BE7" w14:textId="77777777" w:rsidR="00A26D0C" w:rsidRPr="00A26D0C" w:rsidRDefault="00A26D0C" w:rsidP="0029712E">
      <w:pPr>
        <w:numPr>
          <w:ilvl w:val="2"/>
          <w:numId w:val="43"/>
        </w:numPr>
        <w:tabs>
          <w:tab w:val="left" w:pos="-2268"/>
          <w:tab w:val="left" w:pos="1701"/>
        </w:tabs>
        <w:overflowPunct w:val="0"/>
        <w:autoSpaceDE w:val="0"/>
        <w:autoSpaceDN w:val="0"/>
        <w:adjustRightInd w:val="0"/>
        <w:spacing w:after="200"/>
        <w:ind w:left="0" w:firstLine="709"/>
        <w:contextualSpacing/>
        <w:jc w:val="both"/>
        <w:textAlignment w:val="baseline"/>
        <w:rPr>
          <w:rFonts w:ascii="Times New Roman" w:eastAsia="Aptos" w:hAnsi="Times New Roman" w:cs="Times New Roman"/>
          <w:sz w:val="24"/>
          <w:szCs w:val="24"/>
          <w:lang w:eastAsia="en-US"/>
          <w14:ligatures w14:val="standardContextual"/>
        </w:rPr>
      </w:pPr>
      <w:r w:rsidRPr="00A26D0C">
        <w:rPr>
          <w:rFonts w:ascii="Times New Roman" w:eastAsia="Calibri" w:hAnsi="Times New Roman" w:cs="Times New Roman"/>
          <w:sz w:val="24"/>
          <w:szCs w:val="24"/>
          <w:lang w:eastAsia="en-US"/>
        </w:rPr>
        <w:t xml:space="preserve">santrauka lietuvių ir anglų k.; </w:t>
      </w:r>
    </w:p>
    <w:p w14:paraId="61E62D59" w14:textId="77777777" w:rsidR="00A26D0C" w:rsidRPr="00A26D0C" w:rsidRDefault="00A26D0C" w:rsidP="0029712E">
      <w:pPr>
        <w:numPr>
          <w:ilvl w:val="2"/>
          <w:numId w:val="43"/>
        </w:numPr>
        <w:tabs>
          <w:tab w:val="left" w:pos="-2268"/>
          <w:tab w:val="left" w:pos="1701"/>
        </w:tabs>
        <w:overflowPunct w:val="0"/>
        <w:autoSpaceDE w:val="0"/>
        <w:autoSpaceDN w:val="0"/>
        <w:adjustRightInd w:val="0"/>
        <w:spacing w:after="200"/>
        <w:ind w:left="0" w:firstLine="709"/>
        <w:contextualSpacing/>
        <w:jc w:val="both"/>
        <w:textAlignment w:val="baseline"/>
        <w:rPr>
          <w:rFonts w:ascii="Times New Roman" w:eastAsia="Aptos" w:hAnsi="Times New Roman" w:cs="Times New Roman"/>
          <w:sz w:val="24"/>
          <w:szCs w:val="24"/>
          <w:lang w:eastAsia="en-US"/>
          <w14:ligatures w14:val="standardContextual"/>
        </w:rPr>
      </w:pPr>
      <w:r w:rsidRPr="00A26D0C">
        <w:rPr>
          <w:rFonts w:ascii="Times New Roman" w:eastAsia="Calibri" w:hAnsi="Times New Roman" w:cs="Times New Roman"/>
          <w:sz w:val="24"/>
          <w:szCs w:val="24"/>
          <w:lang w:eastAsia="en-US"/>
        </w:rPr>
        <w:t>priedai.</w:t>
      </w:r>
    </w:p>
    <w:p w14:paraId="5666A6C4" w14:textId="77777777" w:rsidR="00A26D0C" w:rsidRPr="00A26D0C" w:rsidRDefault="00A26D0C" w:rsidP="0029712E">
      <w:pPr>
        <w:numPr>
          <w:ilvl w:val="1"/>
          <w:numId w:val="43"/>
        </w:numPr>
        <w:tabs>
          <w:tab w:val="left" w:pos="-2268"/>
        </w:tabs>
        <w:overflowPunct w:val="0"/>
        <w:autoSpaceDE w:val="0"/>
        <w:autoSpaceDN w:val="0"/>
        <w:adjustRightInd w:val="0"/>
        <w:spacing w:after="200"/>
        <w:ind w:left="0" w:firstLine="709"/>
        <w:contextualSpacing/>
        <w:jc w:val="both"/>
        <w:textAlignment w:val="baseline"/>
        <w:rPr>
          <w:rFonts w:ascii="Times New Roman" w:eastAsia="Calibri" w:hAnsi="Times New Roman" w:cs="Times New Roman"/>
          <w:sz w:val="24"/>
          <w:szCs w:val="24"/>
          <w:lang w:eastAsia="en-US"/>
        </w:rPr>
      </w:pPr>
      <w:r w:rsidRPr="00A26D0C">
        <w:rPr>
          <w:rFonts w:ascii="Times New Roman" w:eastAsia="Calibri" w:hAnsi="Times New Roman" w:cs="Times New Roman"/>
          <w:sz w:val="24"/>
          <w:szCs w:val="24"/>
          <w:lang w:eastAsia="en-US"/>
        </w:rPr>
        <w:t>dėl trečiųjų šalių veikos (veikimo ir / arba neveikimo) vertinimo terminas ir (arba) ataskaitų pateikimo terminai vertinimo paslaugų teikėjo ir Užsakovo abipusiu sutarimu gali būti pratęsiami iki 1 mėnesio laikotarpiui, bet vertinimo terminas ir galutinės vertinimo ataskaitos perdavimo–priėmimo terminas negali viršyti sutarties galiojimo trukmės;</w:t>
      </w:r>
    </w:p>
    <w:p w14:paraId="3B189B93" w14:textId="77777777" w:rsidR="00A26D0C" w:rsidRPr="00A26D0C" w:rsidRDefault="00A26D0C" w:rsidP="0029712E">
      <w:pPr>
        <w:numPr>
          <w:ilvl w:val="1"/>
          <w:numId w:val="43"/>
        </w:numPr>
        <w:tabs>
          <w:tab w:val="left" w:pos="-2268"/>
        </w:tabs>
        <w:overflowPunct w:val="0"/>
        <w:autoSpaceDE w:val="0"/>
        <w:autoSpaceDN w:val="0"/>
        <w:adjustRightInd w:val="0"/>
        <w:spacing w:after="200"/>
        <w:ind w:left="0" w:firstLine="709"/>
        <w:contextualSpacing/>
        <w:jc w:val="both"/>
        <w:textAlignment w:val="baseline"/>
        <w:rPr>
          <w:rFonts w:ascii="Times New Roman" w:eastAsia="Calibri" w:hAnsi="Times New Roman" w:cs="Times New Roman"/>
          <w:sz w:val="24"/>
          <w:szCs w:val="24"/>
          <w:lang w:eastAsia="en-US"/>
        </w:rPr>
      </w:pPr>
      <w:r w:rsidRPr="00A26D0C">
        <w:rPr>
          <w:rFonts w:ascii="Times New Roman" w:eastAsia="Calibri" w:hAnsi="Times New Roman" w:cs="Times New Roman"/>
          <w:sz w:val="24"/>
          <w:szCs w:val="24"/>
          <w:lang w:eastAsia="en-US"/>
        </w:rPr>
        <w:t>su Užsakovu suderintu metu turės būti suorganizuotas vertinimo rezultatų pristatymas Užsakovui ir kitų su SP įgyvendinimu susijusių institucijų atstovams</w:t>
      </w:r>
      <w:r w:rsidRPr="00A26D0C">
        <w:rPr>
          <w:rFonts w:ascii="Times New Roman" w:eastAsia="Aptos" w:hAnsi="Times New Roman" w:cs="Times New Roman"/>
          <w:sz w:val="24"/>
          <w:szCs w:val="24"/>
          <w:lang w:eastAsia="en-US"/>
          <w14:ligatures w14:val="standardContextual"/>
        </w:rPr>
        <w:t>.</w:t>
      </w:r>
    </w:p>
    <w:p w14:paraId="3A151F3C" w14:textId="77777777" w:rsidR="00A26D0C" w:rsidRPr="00A26D0C" w:rsidRDefault="00A26D0C" w:rsidP="00937435">
      <w:pPr>
        <w:numPr>
          <w:ilvl w:val="0"/>
          <w:numId w:val="43"/>
        </w:numPr>
        <w:tabs>
          <w:tab w:val="left" w:pos="1134"/>
        </w:tabs>
        <w:overflowPunct w:val="0"/>
        <w:autoSpaceDE w:val="0"/>
        <w:autoSpaceDN w:val="0"/>
        <w:adjustRightInd w:val="0"/>
        <w:spacing w:after="200"/>
        <w:ind w:left="0" w:firstLine="709"/>
        <w:contextualSpacing/>
        <w:jc w:val="both"/>
        <w:textAlignment w:val="baseline"/>
        <w:rPr>
          <w:rFonts w:ascii="Times New Roman" w:eastAsia="Calibri" w:hAnsi="Times New Roman" w:cs="Times New Roman"/>
          <w:sz w:val="24"/>
          <w:szCs w:val="24"/>
          <w:lang w:eastAsia="en-US"/>
        </w:rPr>
      </w:pPr>
      <w:r w:rsidRPr="00A26D0C">
        <w:rPr>
          <w:rFonts w:ascii="Times New Roman" w:eastAsia="Calibri" w:hAnsi="Times New Roman" w:cs="Times New Roman"/>
          <w:sz w:val="24"/>
          <w:szCs w:val="24"/>
          <w:lang w:eastAsia="en-US"/>
        </w:rPr>
        <w:t>Vertinimo paslaugų pirkimo sutarties įgyvendinimo dokumentuose (ataskaitose, santraukose, pristatymuose ir kituose dokumentuose) turės būti naudojami tinkami ES paramos viešinimo ženklai;</w:t>
      </w:r>
    </w:p>
    <w:p w14:paraId="575C098D" w14:textId="77777777" w:rsidR="00A26D0C" w:rsidRPr="00A26D0C" w:rsidRDefault="00A26D0C" w:rsidP="00937435">
      <w:pPr>
        <w:numPr>
          <w:ilvl w:val="0"/>
          <w:numId w:val="43"/>
        </w:numPr>
        <w:tabs>
          <w:tab w:val="left" w:pos="1134"/>
        </w:tabs>
        <w:overflowPunct w:val="0"/>
        <w:autoSpaceDE w:val="0"/>
        <w:autoSpaceDN w:val="0"/>
        <w:adjustRightInd w:val="0"/>
        <w:spacing w:after="200"/>
        <w:ind w:left="0" w:firstLine="709"/>
        <w:contextualSpacing/>
        <w:jc w:val="both"/>
        <w:textAlignment w:val="baseline"/>
        <w:rPr>
          <w:rFonts w:ascii="Times New Roman" w:eastAsia="Calibri" w:hAnsi="Times New Roman" w:cs="Times New Roman"/>
          <w:sz w:val="24"/>
          <w:szCs w:val="24"/>
          <w:lang w:eastAsia="en-US"/>
        </w:rPr>
      </w:pPr>
      <w:r w:rsidRPr="00A26D0C">
        <w:rPr>
          <w:rFonts w:ascii="Times New Roman" w:eastAsia="Calibri" w:hAnsi="Times New Roman" w:cs="Times New Roman"/>
          <w:sz w:val="24"/>
          <w:szCs w:val="24"/>
          <w:lang w:eastAsia="en-US"/>
        </w:rPr>
        <w:t>Vertinimo proceso dalyviai turės būti informuojami, kad vertinimo paslaugų sutartis finansuojama iš SP lėšų, o vertinimo paslaugos teikiamos Ministerijos užsakymu;</w:t>
      </w:r>
    </w:p>
    <w:p w14:paraId="00E74E61" w14:textId="77777777" w:rsidR="00A26D0C" w:rsidRPr="00A26D0C" w:rsidRDefault="00A26D0C" w:rsidP="00937435">
      <w:pPr>
        <w:numPr>
          <w:ilvl w:val="0"/>
          <w:numId w:val="43"/>
        </w:numPr>
        <w:tabs>
          <w:tab w:val="left" w:pos="-2268"/>
          <w:tab w:val="left" w:pos="1134"/>
        </w:tabs>
        <w:overflowPunct w:val="0"/>
        <w:autoSpaceDE w:val="0"/>
        <w:autoSpaceDN w:val="0"/>
        <w:adjustRightInd w:val="0"/>
        <w:spacing w:after="200"/>
        <w:ind w:left="0" w:firstLine="709"/>
        <w:contextualSpacing/>
        <w:jc w:val="both"/>
        <w:textAlignment w:val="baseline"/>
        <w:rPr>
          <w:rFonts w:ascii="Times New Roman" w:eastAsia="Calibri" w:hAnsi="Times New Roman" w:cs="Times New Roman"/>
          <w:sz w:val="24"/>
          <w:szCs w:val="24"/>
          <w:lang w:eastAsia="en-US"/>
        </w:rPr>
      </w:pPr>
      <w:r w:rsidRPr="00A26D0C">
        <w:rPr>
          <w:rFonts w:ascii="Times New Roman" w:eastAsia="Calibri" w:hAnsi="Times New Roman" w:cs="Times New Roman"/>
          <w:sz w:val="24"/>
          <w:szCs w:val="24"/>
          <w:lang w:eastAsia="en-US"/>
        </w:rPr>
        <w:t>Vertinimo įvadinę, tarpinę ir galutinę ataskaitas bei galutinės ataskaitos projektą vertins už SP įgyvendinimą atsakingi Ministerijos struktūrinių padalinių kompetentingi darbuotojai;</w:t>
      </w:r>
    </w:p>
    <w:p w14:paraId="44B67EC8" w14:textId="77777777" w:rsidR="00A26D0C" w:rsidRPr="00A26D0C" w:rsidRDefault="00A26D0C" w:rsidP="00937435">
      <w:pPr>
        <w:numPr>
          <w:ilvl w:val="0"/>
          <w:numId w:val="43"/>
        </w:numPr>
        <w:tabs>
          <w:tab w:val="left" w:pos="-2268"/>
          <w:tab w:val="left" w:pos="1134"/>
        </w:tabs>
        <w:overflowPunct w:val="0"/>
        <w:autoSpaceDE w:val="0"/>
        <w:autoSpaceDN w:val="0"/>
        <w:adjustRightInd w:val="0"/>
        <w:spacing w:after="200"/>
        <w:ind w:left="0" w:firstLine="709"/>
        <w:contextualSpacing/>
        <w:jc w:val="both"/>
        <w:textAlignment w:val="baseline"/>
        <w:rPr>
          <w:rFonts w:ascii="Times New Roman" w:eastAsia="Calibri" w:hAnsi="Times New Roman" w:cs="Times New Roman"/>
          <w:sz w:val="24"/>
          <w:szCs w:val="24"/>
          <w:lang w:eastAsia="en-US"/>
        </w:rPr>
      </w:pPr>
      <w:r w:rsidRPr="00A26D0C">
        <w:rPr>
          <w:rFonts w:ascii="Times New Roman" w:eastAsia="Calibri" w:hAnsi="Times New Roman" w:cs="Times New Roman"/>
          <w:sz w:val="24"/>
          <w:szCs w:val="24"/>
          <w:lang w:eastAsia="en-US"/>
        </w:rPr>
        <w:t xml:space="preserve">Už vertinimo koordinavimą atsakingas </w:t>
      </w:r>
      <w:bookmarkStart w:id="8" w:name="_Hlk91666812"/>
      <w:r w:rsidRPr="00A26D0C">
        <w:rPr>
          <w:rFonts w:ascii="Times New Roman" w:eastAsia="Calibri" w:hAnsi="Times New Roman" w:cs="Times New Roman"/>
          <w:sz w:val="24"/>
          <w:szCs w:val="24"/>
          <w:lang w:eastAsia="en-US"/>
        </w:rPr>
        <w:t>Žemės ūkio ministerijos Europos Sąjungos paramos programų stebėsenos ir vertinimo skyrius.</w:t>
      </w:r>
      <w:bookmarkEnd w:id="8"/>
    </w:p>
    <w:p w14:paraId="282AAA8E" w14:textId="77777777" w:rsidR="00A26D0C" w:rsidRPr="00A26D0C" w:rsidRDefault="00A26D0C" w:rsidP="00A26D0C">
      <w:pPr>
        <w:tabs>
          <w:tab w:val="left" w:pos="-2268"/>
          <w:tab w:val="left" w:pos="1134"/>
        </w:tabs>
        <w:overflowPunct w:val="0"/>
        <w:autoSpaceDE w:val="0"/>
        <w:autoSpaceDN w:val="0"/>
        <w:adjustRightInd w:val="0"/>
        <w:spacing w:before="240" w:after="0"/>
        <w:ind w:left="709"/>
        <w:contextualSpacing/>
        <w:jc w:val="both"/>
        <w:textAlignment w:val="baseline"/>
        <w:rPr>
          <w:rFonts w:ascii="Times New Roman" w:eastAsia="Calibri" w:hAnsi="Times New Roman" w:cs="Times New Roman"/>
          <w:sz w:val="24"/>
          <w:szCs w:val="24"/>
          <w:lang w:eastAsia="en-US"/>
        </w:rPr>
      </w:pPr>
    </w:p>
    <w:p w14:paraId="07DDDE1C" w14:textId="77777777" w:rsidR="00A26D0C" w:rsidRPr="00A26D0C" w:rsidRDefault="00A26D0C" w:rsidP="00A26D0C">
      <w:pPr>
        <w:numPr>
          <w:ilvl w:val="0"/>
          <w:numId w:val="42"/>
        </w:numPr>
        <w:tabs>
          <w:tab w:val="left" w:pos="1701"/>
        </w:tabs>
        <w:spacing w:before="240" w:after="240"/>
        <w:ind w:hanging="371"/>
        <w:contextualSpacing/>
        <w:jc w:val="center"/>
        <w:rPr>
          <w:rFonts w:ascii="Times New Roman" w:eastAsia="Calibri" w:hAnsi="Times New Roman" w:cs="Times New Roman"/>
          <w:b/>
          <w:bCs/>
          <w:sz w:val="24"/>
          <w:szCs w:val="24"/>
          <w:lang w:eastAsia="en-US"/>
        </w:rPr>
      </w:pPr>
      <w:r w:rsidRPr="00A26D0C">
        <w:rPr>
          <w:rFonts w:ascii="Times New Roman" w:eastAsia="Calibri" w:hAnsi="Times New Roman" w:cs="Times New Roman"/>
          <w:b/>
          <w:bCs/>
          <w:sz w:val="24"/>
          <w:szCs w:val="24"/>
          <w:lang w:eastAsia="en-US"/>
        </w:rPr>
        <w:t>VERTINIMO REZULTATŲ NAUDOJIMAS</w:t>
      </w:r>
    </w:p>
    <w:p w14:paraId="659E8773" w14:textId="77777777" w:rsidR="00A26D0C" w:rsidRPr="00A26D0C" w:rsidRDefault="00A26D0C" w:rsidP="00937435">
      <w:pPr>
        <w:numPr>
          <w:ilvl w:val="0"/>
          <w:numId w:val="43"/>
        </w:numPr>
        <w:tabs>
          <w:tab w:val="left" w:pos="993"/>
          <w:tab w:val="left" w:pos="1134"/>
        </w:tabs>
        <w:spacing w:after="0"/>
        <w:ind w:left="0" w:firstLine="709"/>
        <w:contextualSpacing/>
        <w:jc w:val="both"/>
        <w:rPr>
          <w:rFonts w:ascii="Times New Roman" w:eastAsia="Times New Roman" w:hAnsi="Times New Roman" w:cs="Times New Roman"/>
          <w:sz w:val="24"/>
          <w:szCs w:val="24"/>
          <w:lang w:eastAsia="en-US"/>
        </w:rPr>
      </w:pPr>
      <w:r w:rsidRPr="20CD949C">
        <w:rPr>
          <w:rFonts w:ascii="Times New Roman" w:eastAsia="Calibri" w:hAnsi="Times New Roman" w:cs="Times New Roman"/>
          <w:sz w:val="24"/>
          <w:szCs w:val="24"/>
          <w:lang w:eastAsia="en-US"/>
        </w:rPr>
        <w:t>Ministerija bus pagrindinė vertinimo rezultatų naudotoja. Vertinimo rezultatai bus naudojami tobulinti SP intervencijoms, jų vykdymo būdams parinkti, planavimo dokumentams keisti, strateginiams sprendimams priimti, ataskaitoms ir naujiems planavimo dokumentams rengti, sprendimams dėl priemonių tęstinumo pagrįsti, atsiskaitymui su suinteresuotais subjektais ir visuomene, taip pat kaip antriniai šaltiniai kituose vertinimuose ar analitinėse analizėse.</w:t>
      </w:r>
    </w:p>
    <w:p w14:paraId="1B77F74E" w14:textId="02F5DADA" w:rsidR="3C8D2272" w:rsidRDefault="3C8D2272" w:rsidP="20CD949C">
      <w:pPr>
        <w:numPr>
          <w:ilvl w:val="0"/>
          <w:numId w:val="43"/>
        </w:numPr>
        <w:tabs>
          <w:tab w:val="left" w:pos="993"/>
          <w:tab w:val="left" w:pos="1134"/>
        </w:tabs>
        <w:spacing w:after="0"/>
        <w:ind w:left="0" w:firstLine="709"/>
        <w:contextualSpacing/>
        <w:jc w:val="both"/>
        <w:rPr>
          <w:rFonts w:ascii="Times New Roman" w:eastAsia="Times New Roman" w:hAnsi="Times New Roman" w:cs="Times New Roman"/>
          <w:sz w:val="24"/>
          <w:szCs w:val="24"/>
        </w:rPr>
      </w:pPr>
      <w:r w:rsidRPr="20CD949C">
        <w:rPr>
          <w:rFonts w:ascii="Times New Roman" w:eastAsia="Times New Roman" w:hAnsi="Times New Roman" w:cs="Times New Roman"/>
          <w:sz w:val="24"/>
          <w:szCs w:val="24"/>
        </w:rPr>
        <w:t>Su Užsakovu suderintu metu paslaugos teikėjas turės pristatyti Vertinimo rezultatus Užsakovui, SP įgyvendinimo Stebėsenos komiteto nariams ir (ar) kitų su SP įgyvendinimu susijusių institucijų atstovams;</w:t>
      </w:r>
    </w:p>
    <w:p w14:paraId="58801A7C" w14:textId="77777777" w:rsidR="00A26D0C" w:rsidRPr="00A26D0C" w:rsidRDefault="00A26D0C" w:rsidP="00937435">
      <w:pPr>
        <w:numPr>
          <w:ilvl w:val="0"/>
          <w:numId w:val="43"/>
        </w:numPr>
        <w:tabs>
          <w:tab w:val="left" w:pos="993"/>
          <w:tab w:val="left" w:pos="1134"/>
        </w:tabs>
        <w:spacing w:after="0"/>
        <w:ind w:left="0" w:firstLine="709"/>
        <w:contextualSpacing/>
        <w:jc w:val="both"/>
        <w:rPr>
          <w:rFonts w:ascii="Times New Roman" w:eastAsia="Times New Roman" w:hAnsi="Times New Roman" w:cs="Times New Roman"/>
          <w:sz w:val="24"/>
          <w:szCs w:val="24"/>
          <w:lang w:eastAsia="en-US"/>
        </w:rPr>
      </w:pPr>
      <w:r w:rsidRPr="00A26D0C">
        <w:rPr>
          <w:rFonts w:ascii="Times New Roman" w:eastAsia="Calibri" w:hAnsi="Times New Roman" w:cs="Times New Roman"/>
          <w:sz w:val="24"/>
          <w:szCs w:val="24"/>
          <w:lang w:eastAsia="en-US"/>
        </w:rPr>
        <w:t>Vertinimo rezultatai bus paskelbti Ministerijos interneto svetainėje.</w:t>
      </w:r>
    </w:p>
    <w:p w14:paraId="4584FE8F" w14:textId="77777777" w:rsidR="00A26D0C" w:rsidRPr="00A26D0C" w:rsidRDefault="00A26D0C" w:rsidP="00A26D0C">
      <w:pPr>
        <w:spacing w:after="0"/>
        <w:ind w:firstLine="720"/>
        <w:jc w:val="center"/>
        <w:rPr>
          <w:rFonts w:ascii="Times New Roman" w:eastAsia="Calibri" w:hAnsi="Times New Roman" w:cs="Times New Roman"/>
          <w:b/>
          <w:bCs/>
          <w:sz w:val="24"/>
          <w:szCs w:val="24"/>
          <w:lang w:eastAsia="en-US"/>
        </w:rPr>
      </w:pPr>
    </w:p>
    <w:p w14:paraId="1A2682ED" w14:textId="77777777" w:rsidR="00A26D0C" w:rsidRPr="00A26D0C" w:rsidRDefault="00A26D0C" w:rsidP="00A26D0C">
      <w:pPr>
        <w:numPr>
          <w:ilvl w:val="0"/>
          <w:numId w:val="42"/>
        </w:numPr>
        <w:tabs>
          <w:tab w:val="left" w:pos="1276"/>
        </w:tabs>
        <w:spacing w:after="0"/>
        <w:ind w:hanging="654"/>
        <w:contextualSpacing/>
        <w:jc w:val="center"/>
        <w:rPr>
          <w:rFonts w:ascii="Times New Roman" w:eastAsia="Calibri" w:hAnsi="Times New Roman" w:cs="Times New Roman"/>
          <w:b/>
          <w:bCs/>
          <w:sz w:val="24"/>
          <w:szCs w:val="24"/>
          <w:lang w:eastAsia="en-US"/>
        </w:rPr>
      </w:pPr>
      <w:r w:rsidRPr="00A26D0C">
        <w:rPr>
          <w:rFonts w:ascii="Times New Roman" w:eastAsia="Calibri" w:hAnsi="Times New Roman" w:cs="Times New Roman"/>
          <w:b/>
          <w:bCs/>
          <w:sz w:val="24"/>
          <w:szCs w:val="24"/>
          <w:lang w:eastAsia="en-US"/>
        </w:rPr>
        <w:t>KITA SVARBI INFORMACIJA</w:t>
      </w:r>
    </w:p>
    <w:p w14:paraId="527982CE" w14:textId="77777777" w:rsidR="00A26D0C" w:rsidRPr="00A26D0C" w:rsidRDefault="00A26D0C" w:rsidP="00937435">
      <w:pPr>
        <w:numPr>
          <w:ilvl w:val="0"/>
          <w:numId w:val="43"/>
        </w:numPr>
        <w:tabs>
          <w:tab w:val="left" w:pos="1134"/>
        </w:tabs>
        <w:spacing w:after="0"/>
        <w:ind w:left="0" w:firstLine="709"/>
        <w:contextualSpacing/>
        <w:jc w:val="both"/>
        <w:rPr>
          <w:rFonts w:ascii="Times New Roman" w:eastAsia="Calibri" w:hAnsi="Times New Roman" w:cs="Times New Roman"/>
          <w:b/>
          <w:bCs/>
          <w:sz w:val="24"/>
          <w:szCs w:val="24"/>
          <w:lang w:eastAsia="en-US"/>
        </w:rPr>
      </w:pPr>
      <w:r w:rsidRPr="00A26D0C">
        <w:rPr>
          <w:rFonts w:ascii="Times New Roman" w:eastAsia="Calibri" w:hAnsi="Times New Roman" w:cs="Times New Roman"/>
          <w:b/>
          <w:bCs/>
          <w:sz w:val="24"/>
          <w:szCs w:val="24"/>
          <w:lang w:eastAsia="en-US"/>
        </w:rPr>
        <w:t>Susiję teisės aktai, metodiniai dokumentai, šaltiniai</w:t>
      </w:r>
      <w:r w:rsidRPr="00A26D0C">
        <w:rPr>
          <w:rFonts w:ascii="Times New Roman" w:eastAsia="Calibri" w:hAnsi="Times New Roman" w:cs="Times New Roman"/>
          <w:sz w:val="24"/>
          <w:szCs w:val="24"/>
          <w:lang w:eastAsia="en-US"/>
        </w:rPr>
        <w:t>:</w:t>
      </w:r>
    </w:p>
    <w:p w14:paraId="1A9C0855" w14:textId="77777777" w:rsidR="00A26D0C" w:rsidRPr="00A26D0C" w:rsidRDefault="00A26D0C" w:rsidP="0029712E">
      <w:pPr>
        <w:numPr>
          <w:ilvl w:val="1"/>
          <w:numId w:val="43"/>
        </w:numPr>
        <w:tabs>
          <w:tab w:val="left" w:pos="1701"/>
        </w:tabs>
        <w:spacing w:after="0"/>
        <w:ind w:left="0" w:firstLine="709"/>
        <w:contextualSpacing/>
        <w:jc w:val="both"/>
        <w:rPr>
          <w:rFonts w:ascii="Times New Roman" w:eastAsia="Calibri" w:hAnsi="Times New Roman" w:cs="Times New Roman"/>
          <w:b/>
          <w:bCs/>
          <w:sz w:val="24"/>
          <w:szCs w:val="24"/>
          <w:lang w:eastAsia="en-US"/>
        </w:rPr>
      </w:pPr>
      <w:r w:rsidRPr="00A26D0C">
        <w:rPr>
          <w:rFonts w:ascii="Times New Roman" w:eastAsia="Calibri" w:hAnsi="Times New Roman" w:cs="Times New Roman"/>
          <w:sz w:val="24"/>
          <w:szCs w:val="24"/>
          <w:lang w:eastAsia="en-US"/>
        </w:rPr>
        <w:lastRenderedPageBreak/>
        <w:t>SP ir su jo įgyvendinimu susiję dokumentai, statistika</w:t>
      </w:r>
      <w:r w:rsidRPr="00A26D0C">
        <w:rPr>
          <w:rFonts w:ascii="Times New Roman" w:eastAsia="Calibri" w:hAnsi="Times New Roman" w:cs="Times New Roman"/>
          <w:sz w:val="24"/>
          <w:szCs w:val="24"/>
          <w:vertAlign w:val="superscript"/>
          <w:lang w:eastAsia="en-US"/>
        </w:rPr>
        <w:footnoteReference w:id="2"/>
      </w:r>
      <w:r w:rsidRPr="00A26D0C">
        <w:rPr>
          <w:rFonts w:ascii="Times New Roman" w:eastAsia="Calibri" w:hAnsi="Times New Roman" w:cs="Times New Roman"/>
          <w:sz w:val="24"/>
          <w:szCs w:val="24"/>
          <w:lang w:eastAsia="en-US"/>
        </w:rPr>
        <w:t>;</w:t>
      </w:r>
    </w:p>
    <w:p w14:paraId="6EF86324" w14:textId="77777777" w:rsidR="00A26D0C" w:rsidRPr="00A26D0C" w:rsidRDefault="00A26D0C" w:rsidP="0029712E">
      <w:pPr>
        <w:numPr>
          <w:ilvl w:val="1"/>
          <w:numId w:val="43"/>
        </w:numPr>
        <w:tabs>
          <w:tab w:val="left" w:pos="1701"/>
        </w:tabs>
        <w:spacing w:after="0"/>
        <w:ind w:left="0" w:firstLine="709"/>
        <w:contextualSpacing/>
        <w:jc w:val="both"/>
        <w:rPr>
          <w:rFonts w:ascii="Times New Roman" w:eastAsia="Calibri" w:hAnsi="Times New Roman" w:cs="Times New Roman"/>
          <w:b/>
          <w:bCs/>
          <w:sz w:val="24"/>
          <w:szCs w:val="24"/>
          <w:lang w:eastAsia="en-US"/>
        </w:rPr>
      </w:pPr>
      <w:r w:rsidRPr="00A26D0C">
        <w:rPr>
          <w:rFonts w:ascii="Times New Roman" w:eastAsia="Calibri" w:hAnsi="Times New Roman" w:cs="Times New Roman"/>
          <w:sz w:val="24"/>
          <w:szCs w:val="24"/>
          <w:lang w:eastAsia="en-US"/>
        </w:rPr>
        <w:t>Europos Sąjungos reglamentai ir kiti teisės aktai ir dokumentai, nurodyti Techninės specifikacijos 3 punkte;</w:t>
      </w:r>
    </w:p>
    <w:p w14:paraId="4A005A1B" w14:textId="77777777" w:rsidR="00A26D0C" w:rsidRPr="00A26D0C" w:rsidRDefault="00A26D0C" w:rsidP="0029712E">
      <w:pPr>
        <w:numPr>
          <w:ilvl w:val="1"/>
          <w:numId w:val="43"/>
        </w:numPr>
        <w:tabs>
          <w:tab w:val="left" w:pos="1701"/>
        </w:tabs>
        <w:spacing w:after="0"/>
        <w:ind w:left="0" w:firstLine="709"/>
        <w:contextualSpacing/>
        <w:jc w:val="both"/>
        <w:rPr>
          <w:rFonts w:ascii="Times New Roman" w:eastAsia="Calibri" w:hAnsi="Times New Roman" w:cs="Times New Roman"/>
          <w:b/>
          <w:bCs/>
          <w:sz w:val="24"/>
          <w:szCs w:val="24"/>
          <w:lang w:eastAsia="en-US"/>
        </w:rPr>
      </w:pPr>
      <w:r w:rsidRPr="00A26D0C">
        <w:rPr>
          <w:rFonts w:ascii="Times New Roman" w:eastAsia="Calibri" w:hAnsi="Times New Roman" w:cs="Times New Roman"/>
          <w:sz w:val="24"/>
          <w:szCs w:val="24"/>
          <w:lang w:eastAsia="en-US"/>
        </w:rPr>
        <w:t>Europos kaimo plėtros tinklo ir vertinimo pagalbos tarnybos publikacijos, vertinimo gairės ir kiti dokumentai</w:t>
      </w:r>
      <w:r w:rsidRPr="00A26D0C">
        <w:rPr>
          <w:rFonts w:ascii="Times New Roman" w:eastAsia="Calibri" w:hAnsi="Times New Roman" w:cs="Times New Roman"/>
          <w:sz w:val="24"/>
          <w:szCs w:val="24"/>
          <w:vertAlign w:val="superscript"/>
          <w:lang w:eastAsia="en-US"/>
        </w:rPr>
        <w:footnoteReference w:id="3"/>
      </w:r>
      <w:r w:rsidRPr="00A26D0C">
        <w:rPr>
          <w:rFonts w:ascii="Times New Roman" w:eastAsia="Calibri" w:hAnsi="Times New Roman" w:cs="Times New Roman"/>
          <w:sz w:val="24"/>
          <w:szCs w:val="24"/>
          <w:lang w:eastAsia="en-US"/>
        </w:rPr>
        <w:t>;</w:t>
      </w:r>
      <w:r w:rsidRPr="00A26D0C">
        <w:rPr>
          <w:rFonts w:ascii="Times New Roman" w:eastAsia="Calibri" w:hAnsi="Times New Roman" w:cs="Times New Roman"/>
          <w:b/>
          <w:bCs/>
          <w:sz w:val="24"/>
          <w:szCs w:val="24"/>
          <w:lang w:eastAsia="en-US"/>
        </w:rPr>
        <w:t xml:space="preserve"> </w:t>
      </w:r>
    </w:p>
    <w:p w14:paraId="0A8DABBB" w14:textId="77777777" w:rsidR="00A26D0C" w:rsidRPr="00A26D0C" w:rsidRDefault="00A26D0C" w:rsidP="0029712E">
      <w:pPr>
        <w:numPr>
          <w:ilvl w:val="1"/>
          <w:numId w:val="43"/>
        </w:numPr>
        <w:tabs>
          <w:tab w:val="left" w:pos="1701"/>
        </w:tabs>
        <w:spacing w:after="0"/>
        <w:ind w:left="0" w:firstLine="709"/>
        <w:contextualSpacing/>
        <w:jc w:val="both"/>
        <w:rPr>
          <w:rFonts w:ascii="Times New Roman" w:eastAsia="Calibri" w:hAnsi="Times New Roman" w:cs="Times New Roman"/>
          <w:b/>
          <w:bCs/>
          <w:sz w:val="24"/>
          <w:szCs w:val="24"/>
          <w:lang w:eastAsia="en-US"/>
        </w:rPr>
      </w:pPr>
      <w:r w:rsidRPr="00A26D0C">
        <w:rPr>
          <w:rFonts w:ascii="Times New Roman" w:eastAsia="Calibri" w:hAnsi="Times New Roman" w:cs="Times New Roman"/>
          <w:sz w:val="24"/>
          <w:szCs w:val="24"/>
          <w:lang w:eastAsia="en-US"/>
        </w:rPr>
        <w:t>„Lietuvos žemės ūkio ir kaimo ekonominės, socialinės ir aplinkosauginės situacijos vertinimas”</w:t>
      </w:r>
      <w:r w:rsidRPr="00A26D0C">
        <w:rPr>
          <w:rFonts w:ascii="Times New Roman" w:eastAsia="Calibri" w:hAnsi="Times New Roman" w:cs="Times New Roman"/>
          <w:sz w:val="24"/>
          <w:szCs w:val="24"/>
          <w:vertAlign w:val="superscript"/>
          <w:lang w:eastAsia="en-US"/>
        </w:rPr>
        <w:footnoteReference w:id="4"/>
      </w:r>
      <w:r w:rsidRPr="00A26D0C">
        <w:rPr>
          <w:rFonts w:ascii="Times New Roman" w:eastAsia="Calibri" w:hAnsi="Times New Roman" w:cs="Times New Roman"/>
          <w:sz w:val="24"/>
          <w:szCs w:val="24"/>
          <w:lang w:eastAsia="en-US"/>
        </w:rPr>
        <w:t>.</w:t>
      </w:r>
    </w:p>
    <w:p w14:paraId="7801EA50" w14:textId="77777777" w:rsidR="00A26D0C" w:rsidRPr="00A26D0C" w:rsidRDefault="00A26D0C" w:rsidP="0029712E">
      <w:pPr>
        <w:numPr>
          <w:ilvl w:val="1"/>
          <w:numId w:val="43"/>
        </w:numPr>
        <w:tabs>
          <w:tab w:val="left" w:pos="1701"/>
        </w:tabs>
        <w:spacing w:after="0"/>
        <w:ind w:left="0" w:firstLine="709"/>
        <w:contextualSpacing/>
        <w:jc w:val="both"/>
        <w:rPr>
          <w:rFonts w:ascii="Times New Roman" w:eastAsia="Calibri" w:hAnsi="Times New Roman" w:cs="Times New Roman"/>
          <w:b/>
          <w:bCs/>
          <w:sz w:val="24"/>
          <w:szCs w:val="24"/>
          <w:lang w:eastAsia="en-US"/>
        </w:rPr>
      </w:pPr>
      <w:r w:rsidRPr="00A26D0C">
        <w:rPr>
          <w:rFonts w:ascii="Times New Roman" w:eastAsia="Calibri" w:hAnsi="Times New Roman" w:cs="Times New Roman"/>
          <w:sz w:val="24"/>
          <w:szCs w:val="24"/>
          <w:lang w:eastAsia="en-US"/>
        </w:rPr>
        <w:t xml:space="preserve">tyrimas </w:t>
      </w:r>
      <w:proofErr w:type="spellStart"/>
      <w:r w:rsidRPr="00A26D0C">
        <w:rPr>
          <w:rFonts w:ascii="Times New Roman" w:eastAsia="Calibri" w:hAnsi="Times New Roman" w:cs="Times New Roman"/>
          <w:sz w:val="24"/>
          <w:szCs w:val="24"/>
          <w:lang w:eastAsia="en-US"/>
        </w:rPr>
        <w:t>dėl</w:t>
      </w:r>
      <w:proofErr w:type="spellEnd"/>
      <w:r w:rsidRPr="00A26D0C">
        <w:rPr>
          <w:rFonts w:ascii="Times New Roman" w:eastAsia="Calibri" w:hAnsi="Times New Roman" w:cs="Times New Roman"/>
          <w:sz w:val="24"/>
          <w:szCs w:val="24"/>
          <w:lang w:eastAsia="en-US"/>
        </w:rPr>
        <w:t xml:space="preserve"> </w:t>
      </w:r>
      <w:proofErr w:type="spellStart"/>
      <w:r w:rsidRPr="00A26D0C">
        <w:rPr>
          <w:rFonts w:ascii="Times New Roman" w:eastAsia="Calibri" w:hAnsi="Times New Roman" w:cs="Times New Roman"/>
          <w:sz w:val="24"/>
          <w:szCs w:val="24"/>
          <w:lang w:eastAsia="en-US"/>
        </w:rPr>
        <w:t>Žemės</w:t>
      </w:r>
      <w:proofErr w:type="spellEnd"/>
      <w:r w:rsidRPr="00A26D0C">
        <w:rPr>
          <w:rFonts w:ascii="Times New Roman" w:eastAsia="Calibri" w:hAnsi="Times New Roman" w:cs="Times New Roman"/>
          <w:sz w:val="24"/>
          <w:szCs w:val="24"/>
          <w:lang w:eastAsia="en-US"/>
        </w:rPr>
        <w:t xml:space="preserve"> </w:t>
      </w:r>
      <w:proofErr w:type="spellStart"/>
      <w:r w:rsidRPr="00A26D0C">
        <w:rPr>
          <w:rFonts w:ascii="Times New Roman" w:eastAsia="Calibri" w:hAnsi="Times New Roman" w:cs="Times New Roman"/>
          <w:sz w:val="24"/>
          <w:szCs w:val="24"/>
          <w:lang w:eastAsia="en-US"/>
        </w:rPr>
        <w:t>ūkio</w:t>
      </w:r>
      <w:proofErr w:type="spellEnd"/>
      <w:r w:rsidRPr="00A26D0C">
        <w:rPr>
          <w:rFonts w:ascii="Times New Roman" w:eastAsia="Calibri" w:hAnsi="Times New Roman" w:cs="Times New Roman"/>
          <w:sz w:val="24"/>
          <w:szCs w:val="24"/>
          <w:lang w:eastAsia="en-US"/>
        </w:rPr>
        <w:t xml:space="preserve"> </w:t>
      </w:r>
      <w:proofErr w:type="spellStart"/>
      <w:r w:rsidRPr="00A26D0C">
        <w:rPr>
          <w:rFonts w:ascii="Times New Roman" w:eastAsia="Calibri" w:hAnsi="Times New Roman" w:cs="Times New Roman"/>
          <w:sz w:val="24"/>
          <w:szCs w:val="24"/>
          <w:lang w:eastAsia="en-US"/>
        </w:rPr>
        <w:t>žiniu</w:t>
      </w:r>
      <w:proofErr w:type="spellEnd"/>
      <w:r w:rsidRPr="00A26D0C">
        <w:rPr>
          <w:rFonts w:ascii="Times New Roman" w:eastAsia="Calibri" w:hAnsi="Times New Roman" w:cs="Times New Roman"/>
          <w:sz w:val="24"/>
          <w:szCs w:val="24"/>
          <w:lang w:eastAsia="en-US"/>
        </w:rPr>
        <w:t xml:space="preserve">̨ ir </w:t>
      </w:r>
      <w:proofErr w:type="spellStart"/>
      <w:r w:rsidRPr="00A26D0C">
        <w:rPr>
          <w:rFonts w:ascii="Times New Roman" w:eastAsia="Calibri" w:hAnsi="Times New Roman" w:cs="Times New Roman"/>
          <w:sz w:val="24"/>
          <w:szCs w:val="24"/>
          <w:lang w:eastAsia="en-US"/>
        </w:rPr>
        <w:t>inovaciju</w:t>
      </w:r>
      <w:proofErr w:type="spellEnd"/>
      <w:r w:rsidRPr="00A26D0C">
        <w:rPr>
          <w:rFonts w:ascii="Times New Roman" w:eastAsia="Calibri" w:hAnsi="Times New Roman" w:cs="Times New Roman"/>
          <w:sz w:val="24"/>
          <w:szCs w:val="24"/>
          <w:lang w:eastAsia="en-US"/>
        </w:rPr>
        <w:t>̨ sistemos funkcinio modelio Lietuvoje parengimo</w:t>
      </w:r>
      <w:r w:rsidRPr="00A26D0C">
        <w:rPr>
          <w:rFonts w:ascii="Times New Roman" w:eastAsia="Calibri" w:hAnsi="Times New Roman" w:cs="Times New Roman"/>
          <w:sz w:val="24"/>
          <w:szCs w:val="24"/>
          <w:vertAlign w:val="superscript"/>
          <w:lang w:eastAsia="en-US"/>
        </w:rPr>
        <w:footnoteReference w:id="5"/>
      </w:r>
      <w:r w:rsidRPr="00A26D0C">
        <w:rPr>
          <w:rFonts w:ascii="Times New Roman" w:eastAsia="Calibri" w:hAnsi="Times New Roman" w:cs="Times New Roman"/>
          <w:sz w:val="24"/>
          <w:szCs w:val="24"/>
          <w:lang w:eastAsia="en-US"/>
        </w:rPr>
        <w:t>;</w:t>
      </w:r>
    </w:p>
    <w:p w14:paraId="7C8706E7" w14:textId="77777777" w:rsidR="00A26D0C" w:rsidRPr="00A26D0C" w:rsidRDefault="00A26D0C" w:rsidP="0029712E">
      <w:pPr>
        <w:numPr>
          <w:ilvl w:val="1"/>
          <w:numId w:val="43"/>
        </w:numPr>
        <w:tabs>
          <w:tab w:val="left" w:pos="1701"/>
        </w:tabs>
        <w:spacing w:after="0"/>
        <w:ind w:left="0" w:firstLine="709"/>
        <w:contextualSpacing/>
        <w:jc w:val="both"/>
        <w:rPr>
          <w:rFonts w:ascii="Times New Roman" w:eastAsia="Calibri" w:hAnsi="Times New Roman" w:cs="Times New Roman"/>
          <w:sz w:val="24"/>
          <w:szCs w:val="24"/>
          <w:lang w:eastAsia="en-US"/>
        </w:rPr>
      </w:pPr>
      <w:r w:rsidRPr="00A26D0C">
        <w:rPr>
          <w:rFonts w:ascii="Times New Roman" w:eastAsia="Calibri" w:hAnsi="Times New Roman" w:cs="Times New Roman"/>
          <w:sz w:val="24"/>
          <w:szCs w:val="24"/>
          <w:lang w:eastAsia="en-US"/>
        </w:rPr>
        <w:t>finansų ministro 2021 m. birželio 28 d. įsakyme Nr. 1K-227 „Dėl Strateginio valdymo metodikos taikymo“</w:t>
      </w:r>
      <w:r w:rsidRPr="00A26D0C">
        <w:rPr>
          <w:rFonts w:ascii="Times New Roman" w:eastAsia="Calibri" w:hAnsi="Times New Roman" w:cs="Times New Roman"/>
          <w:sz w:val="24"/>
          <w:szCs w:val="24"/>
          <w:vertAlign w:val="superscript"/>
          <w:lang w:eastAsia="en-US"/>
        </w:rPr>
        <w:footnoteReference w:id="6"/>
      </w:r>
      <w:r w:rsidRPr="00A26D0C">
        <w:rPr>
          <w:rFonts w:ascii="Times New Roman" w:eastAsia="Calibri" w:hAnsi="Times New Roman" w:cs="Times New Roman"/>
          <w:sz w:val="24"/>
          <w:szCs w:val="24"/>
          <w:lang w:eastAsia="en-US"/>
        </w:rPr>
        <w:t xml:space="preserve"> ir vertinimo metodinių gairių praktiniame vadove</w:t>
      </w:r>
      <w:r w:rsidRPr="00A26D0C">
        <w:rPr>
          <w:rFonts w:ascii="Times New Roman" w:eastAsia="Calibri" w:hAnsi="Times New Roman" w:cs="Times New Roman"/>
          <w:sz w:val="24"/>
          <w:szCs w:val="24"/>
          <w:vertAlign w:val="superscript"/>
          <w:lang w:eastAsia="en-US"/>
        </w:rPr>
        <w:footnoteReference w:id="7"/>
      </w:r>
      <w:r w:rsidRPr="00A26D0C">
        <w:rPr>
          <w:rFonts w:ascii="Times New Roman" w:eastAsia="Calibri" w:hAnsi="Times New Roman" w:cs="Times New Roman"/>
          <w:sz w:val="24"/>
          <w:szCs w:val="24"/>
          <w:lang w:eastAsia="en-US"/>
        </w:rPr>
        <w:t xml:space="preserve"> pateiktos nuostatos ir vertinimo gairės;</w:t>
      </w:r>
    </w:p>
    <w:p w14:paraId="6320D842" w14:textId="77777777" w:rsidR="00A26D0C" w:rsidRPr="00A26D0C" w:rsidRDefault="00A26D0C" w:rsidP="0029712E">
      <w:pPr>
        <w:numPr>
          <w:ilvl w:val="1"/>
          <w:numId w:val="43"/>
        </w:numPr>
        <w:tabs>
          <w:tab w:val="left" w:pos="1701"/>
        </w:tabs>
        <w:spacing w:after="0"/>
        <w:ind w:left="0" w:firstLine="709"/>
        <w:contextualSpacing/>
        <w:jc w:val="both"/>
        <w:rPr>
          <w:rFonts w:ascii="Times New Roman" w:eastAsia="Calibri" w:hAnsi="Times New Roman" w:cs="Times New Roman"/>
          <w:sz w:val="24"/>
          <w:szCs w:val="24"/>
          <w:lang w:eastAsia="en-US"/>
        </w:rPr>
      </w:pPr>
      <w:r w:rsidRPr="00A26D0C">
        <w:rPr>
          <w:rFonts w:ascii="Times New Roman" w:eastAsia="Calibri" w:hAnsi="Times New Roman" w:cs="Times New Roman"/>
          <w:sz w:val="24"/>
          <w:szCs w:val="24"/>
          <w:lang w:eastAsia="en-US"/>
        </w:rPr>
        <w:t>kiti Žemės ūkio ministerijos užsakymu atlikti tyrimai</w:t>
      </w:r>
      <w:r w:rsidRPr="00A26D0C">
        <w:rPr>
          <w:rFonts w:ascii="Arial" w:eastAsia="Calibri" w:hAnsi="Arial" w:cs="Arial"/>
          <w:sz w:val="20"/>
          <w:szCs w:val="22"/>
          <w:vertAlign w:val="superscript"/>
          <w:lang w:eastAsia="en-US"/>
        </w:rPr>
        <w:footnoteReference w:id="8"/>
      </w:r>
      <w:r w:rsidRPr="00A26D0C">
        <w:rPr>
          <w:rFonts w:ascii="Times New Roman" w:eastAsia="Calibri" w:hAnsi="Times New Roman" w:cs="Times New Roman"/>
          <w:sz w:val="24"/>
          <w:szCs w:val="24"/>
          <w:lang w:eastAsia="en-US"/>
        </w:rPr>
        <w:t xml:space="preserve">. </w:t>
      </w:r>
      <w:bookmarkEnd w:id="5"/>
    </w:p>
    <w:p w14:paraId="2A792A02" w14:textId="587D59B9" w:rsidR="00E46AF7" w:rsidRPr="001C259F" w:rsidRDefault="00E46AF7" w:rsidP="00A26D0C">
      <w:pPr>
        <w:spacing w:after="0"/>
        <w:jc w:val="center"/>
        <w:rPr>
          <w:rFonts w:ascii="Times New Roman" w:eastAsia="Calibri" w:hAnsi="Times New Roman" w:cs="Times New Roman"/>
          <w:b/>
          <w:bCs/>
          <w:sz w:val="24"/>
          <w:szCs w:val="24"/>
          <w:lang w:eastAsia="en-US"/>
        </w:rPr>
      </w:pPr>
    </w:p>
    <w:sectPr w:rsidR="00E46AF7" w:rsidRPr="001C259F" w:rsidSect="00A26D0C">
      <w:foot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100FF" w14:textId="77777777" w:rsidR="002F2958" w:rsidRDefault="002F2958" w:rsidP="00FB6F51">
      <w:pPr>
        <w:spacing w:after="0" w:line="240" w:lineRule="auto"/>
      </w:pPr>
      <w:r>
        <w:separator/>
      </w:r>
    </w:p>
  </w:endnote>
  <w:endnote w:type="continuationSeparator" w:id="0">
    <w:p w14:paraId="50D9C5DB" w14:textId="77777777" w:rsidR="002F2958" w:rsidRDefault="002F2958" w:rsidP="00FB6F51">
      <w:pPr>
        <w:spacing w:after="0" w:line="240" w:lineRule="auto"/>
      </w:pPr>
      <w:r>
        <w:continuationSeparator/>
      </w:r>
    </w:p>
  </w:endnote>
  <w:endnote w:type="continuationNotice" w:id="1">
    <w:p w14:paraId="7F0900A5" w14:textId="77777777" w:rsidR="002F2958" w:rsidRDefault="002F29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EUAlbertina">
    <w:altName w:val="Times New Roman"/>
    <w:charset w:val="00"/>
    <w:family w:val="auto"/>
    <w:pitch w:val="variable"/>
    <w:sig w:usb0="800002EF" w:usb1="1000E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3261461"/>
      <w:docPartObj>
        <w:docPartGallery w:val="Page Numbers (Bottom of Page)"/>
        <w:docPartUnique/>
      </w:docPartObj>
    </w:sdtPr>
    <w:sdtEndPr/>
    <w:sdtContent>
      <w:p w14:paraId="19EA4ED5" w14:textId="633BF45F" w:rsidR="001A3230" w:rsidRDefault="001A3230">
        <w:pPr>
          <w:pStyle w:val="Porat"/>
          <w:jc w:val="center"/>
        </w:pPr>
        <w:r>
          <w:fldChar w:fldCharType="begin"/>
        </w:r>
        <w:r>
          <w:instrText>PAGE   \* MERGEFORMAT</w:instrText>
        </w:r>
        <w:r>
          <w:fldChar w:fldCharType="separate"/>
        </w:r>
        <w:r>
          <w:t>2</w:t>
        </w:r>
        <w:r>
          <w:fldChar w:fldCharType="end"/>
        </w:r>
      </w:p>
    </w:sdtContent>
  </w:sdt>
  <w:p w14:paraId="392BE30D" w14:textId="77777777" w:rsidR="008B77D0" w:rsidRDefault="008B77D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8DD4B" w14:textId="77777777" w:rsidR="002F2958" w:rsidRDefault="002F2958" w:rsidP="00FB6F51">
      <w:pPr>
        <w:spacing w:after="0" w:line="240" w:lineRule="auto"/>
      </w:pPr>
      <w:r>
        <w:separator/>
      </w:r>
    </w:p>
  </w:footnote>
  <w:footnote w:type="continuationSeparator" w:id="0">
    <w:p w14:paraId="0ECA51B2" w14:textId="77777777" w:rsidR="002F2958" w:rsidRDefault="002F2958" w:rsidP="00FB6F51">
      <w:pPr>
        <w:spacing w:after="0" w:line="240" w:lineRule="auto"/>
      </w:pPr>
      <w:r>
        <w:continuationSeparator/>
      </w:r>
    </w:p>
  </w:footnote>
  <w:footnote w:type="continuationNotice" w:id="1">
    <w:p w14:paraId="3CF2E7F9" w14:textId="77777777" w:rsidR="002F2958" w:rsidRDefault="002F2958">
      <w:pPr>
        <w:spacing w:after="0" w:line="240" w:lineRule="auto"/>
      </w:pPr>
    </w:p>
  </w:footnote>
  <w:footnote w:id="2">
    <w:p w14:paraId="7E153E0E" w14:textId="77777777" w:rsidR="00A26D0C" w:rsidRDefault="00A26D0C" w:rsidP="00A26D0C">
      <w:pPr>
        <w:pStyle w:val="Puslapioinaostekstas"/>
      </w:pPr>
      <w:r>
        <w:rPr>
          <w:rStyle w:val="Puslapioinaosnuoroda"/>
        </w:rPr>
        <w:footnoteRef/>
      </w:r>
      <w:r>
        <w:t xml:space="preserve"> I</w:t>
      </w:r>
      <w:r w:rsidRPr="00A47C79">
        <w:rPr>
          <w:rFonts w:ascii="Times New Roman" w:hAnsi="Times New Roman" w:cs="Times New Roman"/>
          <w:sz w:val="18"/>
          <w:szCs w:val="18"/>
        </w:rPr>
        <w:t>nterneto nuoroda - https://zum.lrv.lt/lt/veiklos-sritys/bendroji-zemes-ukio-politika/lietuvos-zemes-ukio-ir-kaimo-pletros-2023-2027-m-strateginis-planas-1/</w:t>
      </w:r>
    </w:p>
  </w:footnote>
  <w:footnote w:id="3">
    <w:p w14:paraId="0FFA9660" w14:textId="77777777" w:rsidR="00A26D0C" w:rsidRPr="00DC4C07" w:rsidRDefault="00A26D0C" w:rsidP="00A26D0C">
      <w:pPr>
        <w:pStyle w:val="Puslapioinaostekstas"/>
        <w:rPr>
          <w:rFonts w:ascii="Times New Roman" w:hAnsi="Times New Roman" w:cs="Times New Roman"/>
          <w:sz w:val="18"/>
          <w:szCs w:val="18"/>
        </w:rPr>
      </w:pPr>
      <w:r w:rsidRPr="00DC4C07">
        <w:rPr>
          <w:rStyle w:val="Puslapioinaosnuoroda"/>
          <w:rFonts w:ascii="Times New Roman" w:hAnsi="Times New Roman" w:cs="Times New Roman"/>
          <w:sz w:val="18"/>
          <w:szCs w:val="18"/>
        </w:rPr>
        <w:footnoteRef/>
      </w:r>
      <w:r w:rsidRPr="00DC4C07">
        <w:rPr>
          <w:rFonts w:ascii="Times New Roman" w:hAnsi="Times New Roman" w:cs="Times New Roman"/>
          <w:sz w:val="18"/>
          <w:szCs w:val="18"/>
        </w:rPr>
        <w:t xml:space="preserve"> </w:t>
      </w:r>
      <w:r w:rsidRPr="00DC4C07">
        <w:rPr>
          <w:rFonts w:ascii="Times New Roman" w:hAnsi="Times New Roman" w:cs="Times New Roman"/>
          <w:sz w:val="18"/>
          <w:szCs w:val="18"/>
        </w:rPr>
        <w:t xml:space="preserve">Interneto nuoroda – https://eu-cap-network.ec.europa.eu/ </w:t>
      </w:r>
    </w:p>
  </w:footnote>
  <w:footnote w:id="4">
    <w:p w14:paraId="1B679AF2" w14:textId="77777777" w:rsidR="00A26D0C" w:rsidRPr="00DC4C07" w:rsidRDefault="00A26D0C" w:rsidP="00A26D0C">
      <w:pPr>
        <w:pStyle w:val="Puslapioinaostekstas"/>
        <w:rPr>
          <w:rFonts w:ascii="Times New Roman" w:hAnsi="Times New Roman" w:cs="Times New Roman"/>
        </w:rPr>
      </w:pPr>
      <w:r w:rsidRPr="00DC4C07">
        <w:rPr>
          <w:rStyle w:val="Puslapioinaosnuoroda"/>
          <w:rFonts w:ascii="Times New Roman" w:hAnsi="Times New Roman" w:cs="Times New Roman"/>
          <w:sz w:val="18"/>
          <w:szCs w:val="18"/>
        </w:rPr>
        <w:footnoteRef/>
      </w:r>
      <w:r w:rsidRPr="00DC4C07">
        <w:rPr>
          <w:rFonts w:ascii="Times New Roman" w:hAnsi="Times New Roman" w:cs="Times New Roman"/>
          <w:sz w:val="18"/>
          <w:szCs w:val="18"/>
        </w:rPr>
        <w:t xml:space="preserve"> </w:t>
      </w:r>
      <w:r w:rsidRPr="00DC4C07">
        <w:rPr>
          <w:rFonts w:ascii="Times New Roman" w:hAnsi="Times New Roman" w:cs="Times New Roman"/>
          <w:sz w:val="18"/>
          <w:szCs w:val="18"/>
        </w:rPr>
        <w:t>Interneto nuoroda - https://zum.lrv.lt/uploads/zum/documents/files/BZUP_SP_SSGG_2020-10-30.pdf</w:t>
      </w:r>
    </w:p>
  </w:footnote>
  <w:footnote w:id="5">
    <w:p w14:paraId="70B006FC" w14:textId="77777777" w:rsidR="00A26D0C" w:rsidRPr="00364836" w:rsidRDefault="00A26D0C" w:rsidP="00A26D0C">
      <w:pPr>
        <w:pStyle w:val="Puslapioinaostekstas"/>
        <w:rPr>
          <w:rFonts w:ascii="Times New Roman" w:hAnsi="Times New Roman" w:cs="Times New Roman"/>
          <w:sz w:val="18"/>
          <w:szCs w:val="18"/>
        </w:rPr>
      </w:pPr>
      <w:r w:rsidRPr="00364836">
        <w:rPr>
          <w:rStyle w:val="Puslapioinaosnuoroda"/>
          <w:rFonts w:ascii="Times New Roman" w:hAnsi="Times New Roman" w:cs="Times New Roman"/>
          <w:sz w:val="18"/>
          <w:szCs w:val="18"/>
        </w:rPr>
        <w:footnoteRef/>
      </w:r>
      <w:r w:rsidRPr="00364836">
        <w:rPr>
          <w:rFonts w:ascii="Times New Roman" w:hAnsi="Times New Roman" w:cs="Times New Roman"/>
          <w:sz w:val="18"/>
          <w:szCs w:val="18"/>
        </w:rPr>
        <w:t xml:space="preserve"> </w:t>
      </w:r>
      <w:r w:rsidRPr="00364836">
        <w:rPr>
          <w:rFonts w:ascii="Times New Roman" w:hAnsi="Times New Roman" w:cs="Times New Roman"/>
          <w:sz w:val="18"/>
          <w:szCs w:val="18"/>
        </w:rPr>
        <w:t xml:space="preserve">Interneto nuoroda </w:t>
      </w:r>
      <w:r w:rsidRPr="00DC4C07">
        <w:rPr>
          <w:rFonts w:ascii="Times New Roman" w:hAnsi="Times New Roman" w:cs="Times New Roman"/>
          <w:sz w:val="18"/>
          <w:szCs w:val="18"/>
        </w:rPr>
        <w:t xml:space="preserve">– </w:t>
      </w:r>
      <w:r w:rsidRPr="00364836">
        <w:rPr>
          <w:rFonts w:ascii="Times New Roman" w:hAnsi="Times New Roman" w:cs="Times New Roman"/>
          <w:sz w:val="18"/>
          <w:szCs w:val="18"/>
        </w:rPr>
        <w:t xml:space="preserve"> https://zum.lrv.lt/uploads/zum/documents/files/Tyrimas%20dėl%20žemės%20ūkio%20žinių%20ir%20inovacijų%20sistemos%20funkcinio%20modelio%20Lietuvoje%20parengimo.pdf</w:t>
      </w:r>
    </w:p>
  </w:footnote>
  <w:footnote w:id="6">
    <w:p w14:paraId="2C08DFEB" w14:textId="77777777" w:rsidR="00A26D0C" w:rsidRPr="00DC4C07" w:rsidRDefault="00A26D0C" w:rsidP="00A26D0C">
      <w:pPr>
        <w:pStyle w:val="Puslapioinaostekstas"/>
        <w:rPr>
          <w:rFonts w:ascii="Times New Roman" w:hAnsi="Times New Roman" w:cs="Times New Roman"/>
          <w:sz w:val="18"/>
          <w:szCs w:val="18"/>
        </w:rPr>
      </w:pPr>
      <w:r w:rsidRPr="00DC4C07">
        <w:rPr>
          <w:rStyle w:val="Puslapioinaosnuoroda"/>
          <w:rFonts w:ascii="Times New Roman" w:hAnsi="Times New Roman" w:cs="Times New Roman"/>
          <w:sz w:val="18"/>
          <w:szCs w:val="18"/>
        </w:rPr>
        <w:footnoteRef/>
      </w:r>
      <w:r w:rsidRPr="00DC4C07">
        <w:rPr>
          <w:rFonts w:ascii="Times New Roman" w:hAnsi="Times New Roman" w:cs="Times New Roman"/>
          <w:sz w:val="18"/>
          <w:szCs w:val="18"/>
        </w:rPr>
        <w:t xml:space="preserve"> </w:t>
      </w:r>
      <w:r w:rsidRPr="00DC4C07">
        <w:rPr>
          <w:rFonts w:ascii="Times New Roman" w:hAnsi="Times New Roman" w:cs="Times New Roman"/>
          <w:sz w:val="18"/>
          <w:szCs w:val="18"/>
        </w:rPr>
        <w:t xml:space="preserve">Interneto nuoroda – https://e-seimas.lrs.lt/portal/legalAct/lt/TAD/84516811d84611eb866fe2e083228059/asr </w:t>
      </w:r>
    </w:p>
  </w:footnote>
  <w:footnote w:id="7">
    <w:p w14:paraId="6B830346" w14:textId="77777777" w:rsidR="00A26D0C" w:rsidRPr="00DC4C07" w:rsidRDefault="00A26D0C" w:rsidP="00A26D0C">
      <w:pPr>
        <w:pStyle w:val="Puslapioinaostekstas"/>
        <w:rPr>
          <w:rFonts w:ascii="Times New Roman" w:hAnsi="Times New Roman" w:cs="Times New Roman"/>
          <w:sz w:val="18"/>
          <w:szCs w:val="18"/>
        </w:rPr>
      </w:pPr>
      <w:r w:rsidRPr="00DC4C07">
        <w:rPr>
          <w:rStyle w:val="Puslapioinaosnuoroda"/>
          <w:rFonts w:ascii="Times New Roman" w:hAnsi="Times New Roman" w:cs="Times New Roman"/>
          <w:sz w:val="18"/>
          <w:szCs w:val="18"/>
        </w:rPr>
        <w:footnoteRef/>
      </w:r>
      <w:r w:rsidRPr="00DC4C07">
        <w:rPr>
          <w:rFonts w:ascii="Times New Roman" w:hAnsi="Times New Roman" w:cs="Times New Roman"/>
          <w:sz w:val="18"/>
          <w:szCs w:val="18"/>
        </w:rPr>
        <w:t xml:space="preserve"> </w:t>
      </w:r>
      <w:r w:rsidRPr="00DC4C07">
        <w:rPr>
          <w:rFonts w:ascii="Times New Roman" w:hAnsi="Times New Roman" w:cs="Times New Roman"/>
          <w:sz w:val="18"/>
          <w:szCs w:val="18"/>
        </w:rPr>
        <w:t>Interneto nuoroda – https://finmin.lrv.lt/public/canonical/1753778920/25360/Vertinimo%20metodini%C5%B3%20gairi%C5%B3%20praktinis%20vadovas.pdf</w:t>
      </w:r>
    </w:p>
  </w:footnote>
  <w:footnote w:id="8">
    <w:p w14:paraId="1C218A85" w14:textId="77777777" w:rsidR="00A26D0C" w:rsidRPr="00DC4C07" w:rsidRDefault="00A26D0C" w:rsidP="00A26D0C">
      <w:pPr>
        <w:pStyle w:val="Puslapioinaostekstas"/>
        <w:rPr>
          <w:rFonts w:ascii="Times New Roman" w:hAnsi="Times New Roman" w:cs="Times New Roman"/>
          <w:sz w:val="18"/>
          <w:szCs w:val="18"/>
        </w:rPr>
      </w:pPr>
      <w:r w:rsidRPr="00DC4C07">
        <w:rPr>
          <w:rStyle w:val="Puslapioinaosnuoroda"/>
          <w:rFonts w:ascii="Times New Roman" w:hAnsi="Times New Roman" w:cs="Times New Roman"/>
          <w:sz w:val="18"/>
          <w:szCs w:val="18"/>
        </w:rPr>
        <w:footnoteRef/>
      </w:r>
      <w:r w:rsidRPr="00DC4C07">
        <w:rPr>
          <w:rFonts w:ascii="Times New Roman" w:hAnsi="Times New Roman" w:cs="Times New Roman"/>
          <w:sz w:val="18"/>
          <w:szCs w:val="18"/>
        </w:rPr>
        <w:t xml:space="preserve"> </w:t>
      </w:r>
      <w:r w:rsidRPr="00DC4C07">
        <w:rPr>
          <w:rFonts w:ascii="Times New Roman" w:hAnsi="Times New Roman" w:cs="Times New Roman"/>
          <w:sz w:val="18"/>
          <w:szCs w:val="18"/>
        </w:rPr>
        <w:t>Interneto nuoroda – http://zum.lrv.lt/lt/veiklos-sritys/mokslas-mokymas-ir-konsultavimas/mokslas/moksliniu-tyrimu-ir-taikomoji-veikla</w:t>
      </w:r>
      <w:r w:rsidRPr="00DC4C07">
        <w:rPr>
          <w:rFonts w:ascii="Times New Roman" w:hAnsi="Times New Roman" w:cs="Times New Roman"/>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531C3E"/>
    <w:multiLevelType w:val="hybridMultilevel"/>
    <w:tmpl w:val="AFE68D2C"/>
    <w:lvl w:ilvl="0" w:tplc="FFFFFFFF">
      <w:start w:val="1"/>
      <w:numFmt w:val="decimal"/>
      <w:lvlText w:val="%1)"/>
      <w:lvlJc w:val="left"/>
      <w:pPr>
        <w:ind w:left="720" w:hanging="360"/>
      </w:pPr>
      <w:rPr>
        <w:rFonts w:ascii="Times New Roman" w:eastAsia="Times New Roman" w:hAnsi="Times New Roman" w:cs="Times New Roman"/>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07C96882"/>
    <w:multiLevelType w:val="hybridMultilevel"/>
    <w:tmpl w:val="2AEE7138"/>
    <w:lvl w:ilvl="0" w:tplc="04270001">
      <w:start w:val="1"/>
      <w:numFmt w:val="bullet"/>
      <w:lvlText w:val=""/>
      <w:lvlJc w:val="left"/>
      <w:pPr>
        <w:ind w:left="1560" w:hanging="360"/>
      </w:pPr>
      <w:rPr>
        <w:rFonts w:ascii="Symbol" w:hAnsi="Symbol" w:hint="default"/>
      </w:rPr>
    </w:lvl>
    <w:lvl w:ilvl="1" w:tplc="04270003" w:tentative="1">
      <w:start w:val="1"/>
      <w:numFmt w:val="bullet"/>
      <w:lvlText w:val="o"/>
      <w:lvlJc w:val="left"/>
      <w:pPr>
        <w:ind w:left="2280" w:hanging="360"/>
      </w:pPr>
      <w:rPr>
        <w:rFonts w:ascii="Courier New" w:hAnsi="Courier New" w:cs="Courier New" w:hint="default"/>
      </w:rPr>
    </w:lvl>
    <w:lvl w:ilvl="2" w:tplc="04270005" w:tentative="1">
      <w:start w:val="1"/>
      <w:numFmt w:val="bullet"/>
      <w:lvlText w:val=""/>
      <w:lvlJc w:val="left"/>
      <w:pPr>
        <w:ind w:left="3000" w:hanging="360"/>
      </w:pPr>
      <w:rPr>
        <w:rFonts w:ascii="Wingdings" w:hAnsi="Wingdings" w:hint="default"/>
      </w:rPr>
    </w:lvl>
    <w:lvl w:ilvl="3" w:tplc="04270001" w:tentative="1">
      <w:start w:val="1"/>
      <w:numFmt w:val="bullet"/>
      <w:lvlText w:val=""/>
      <w:lvlJc w:val="left"/>
      <w:pPr>
        <w:ind w:left="3720" w:hanging="360"/>
      </w:pPr>
      <w:rPr>
        <w:rFonts w:ascii="Symbol" w:hAnsi="Symbol" w:hint="default"/>
      </w:rPr>
    </w:lvl>
    <w:lvl w:ilvl="4" w:tplc="04270003" w:tentative="1">
      <w:start w:val="1"/>
      <w:numFmt w:val="bullet"/>
      <w:lvlText w:val="o"/>
      <w:lvlJc w:val="left"/>
      <w:pPr>
        <w:ind w:left="4440" w:hanging="360"/>
      </w:pPr>
      <w:rPr>
        <w:rFonts w:ascii="Courier New" w:hAnsi="Courier New" w:cs="Courier New" w:hint="default"/>
      </w:rPr>
    </w:lvl>
    <w:lvl w:ilvl="5" w:tplc="04270005" w:tentative="1">
      <w:start w:val="1"/>
      <w:numFmt w:val="bullet"/>
      <w:lvlText w:val=""/>
      <w:lvlJc w:val="left"/>
      <w:pPr>
        <w:ind w:left="5160" w:hanging="360"/>
      </w:pPr>
      <w:rPr>
        <w:rFonts w:ascii="Wingdings" w:hAnsi="Wingdings" w:hint="default"/>
      </w:rPr>
    </w:lvl>
    <w:lvl w:ilvl="6" w:tplc="04270001" w:tentative="1">
      <w:start w:val="1"/>
      <w:numFmt w:val="bullet"/>
      <w:lvlText w:val=""/>
      <w:lvlJc w:val="left"/>
      <w:pPr>
        <w:ind w:left="5880" w:hanging="360"/>
      </w:pPr>
      <w:rPr>
        <w:rFonts w:ascii="Symbol" w:hAnsi="Symbol" w:hint="default"/>
      </w:rPr>
    </w:lvl>
    <w:lvl w:ilvl="7" w:tplc="04270003" w:tentative="1">
      <w:start w:val="1"/>
      <w:numFmt w:val="bullet"/>
      <w:lvlText w:val="o"/>
      <w:lvlJc w:val="left"/>
      <w:pPr>
        <w:ind w:left="6600" w:hanging="360"/>
      </w:pPr>
      <w:rPr>
        <w:rFonts w:ascii="Courier New" w:hAnsi="Courier New" w:cs="Courier New" w:hint="default"/>
      </w:rPr>
    </w:lvl>
    <w:lvl w:ilvl="8" w:tplc="04270005" w:tentative="1">
      <w:start w:val="1"/>
      <w:numFmt w:val="bullet"/>
      <w:lvlText w:val=""/>
      <w:lvlJc w:val="left"/>
      <w:pPr>
        <w:ind w:left="7320" w:hanging="360"/>
      </w:pPr>
      <w:rPr>
        <w:rFonts w:ascii="Wingdings" w:hAnsi="Wingdings" w:hint="default"/>
      </w:rPr>
    </w:lvl>
  </w:abstractNum>
  <w:abstractNum w:abstractNumId="3" w15:restartNumberingAfterBreak="0">
    <w:nsid w:val="087060EA"/>
    <w:multiLevelType w:val="hybridMultilevel"/>
    <w:tmpl w:val="C67C32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7B0D86"/>
    <w:multiLevelType w:val="multilevel"/>
    <w:tmpl w:val="3F1A4AEE"/>
    <w:lvl w:ilvl="0">
      <w:start w:val="6"/>
      <w:numFmt w:val="decimal"/>
      <w:lvlText w:val="%1."/>
      <w:lvlJc w:val="left"/>
      <w:pPr>
        <w:ind w:left="360" w:hanging="360"/>
      </w:pPr>
      <w:rPr>
        <w:rFonts w:hint="default"/>
        <w:b w:val="0"/>
        <w:bCs w:val="0"/>
      </w:rPr>
    </w:lvl>
    <w:lvl w:ilvl="1">
      <w:start w:val="2"/>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0B65763"/>
    <w:multiLevelType w:val="multilevel"/>
    <w:tmpl w:val="CC44F64A"/>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val="0"/>
        <w:bCs/>
        <w:i w:val="0"/>
      </w:rPr>
    </w:lvl>
    <w:lvl w:ilvl="3">
      <w:start w:val="1"/>
      <w:numFmt w:val="decimal"/>
      <w:lvlText w:val="%1.%2.%3.%4."/>
      <w:lvlJc w:val="left"/>
      <w:pPr>
        <w:ind w:left="2847" w:hanging="720"/>
      </w:pPr>
      <w:rPr>
        <w:rFonts w:eastAsiaTheme="minorHAnsi" w:hint="default"/>
        <w:b w:val="0"/>
        <w:bCs/>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6" w15:restartNumberingAfterBreak="0">
    <w:nsid w:val="1E3514BB"/>
    <w:multiLevelType w:val="multilevel"/>
    <w:tmpl w:val="6722E4C2"/>
    <w:lvl w:ilvl="0">
      <w:start w:val="1"/>
      <w:numFmt w:val="decimal"/>
      <w:lvlText w:val="%1."/>
      <w:lvlJc w:val="left"/>
      <w:pPr>
        <w:ind w:left="360" w:hanging="360"/>
      </w:pPr>
      <w:rPr>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E27E26"/>
    <w:multiLevelType w:val="hybridMultilevel"/>
    <w:tmpl w:val="BE382620"/>
    <w:lvl w:ilvl="0" w:tplc="421EE4DE">
      <w:start w:val="1"/>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8E22C45"/>
    <w:multiLevelType w:val="multilevel"/>
    <w:tmpl w:val="EAE02E92"/>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ascii="Times New Roman" w:eastAsia="Calibri" w:hAnsi="Times New Roman" w:cs="Times New Roman" w:hint="default"/>
        <w:i w:val="0"/>
        <w:iCs w:val="0"/>
        <w:color w:val="auto"/>
        <w:sz w:val="24"/>
        <w:szCs w:val="24"/>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6A6864"/>
    <w:multiLevelType w:val="multilevel"/>
    <w:tmpl w:val="5C7EDC36"/>
    <w:lvl w:ilvl="0">
      <w:start w:val="3"/>
      <w:numFmt w:val="decimal"/>
      <w:lvlText w:val="%1."/>
      <w:lvlJc w:val="left"/>
      <w:pPr>
        <w:ind w:left="360" w:hanging="360"/>
      </w:pPr>
      <w:rPr>
        <w:rFonts w:hint="default"/>
        <w:b/>
        <w:bCs/>
        <w:color w:val="auto"/>
      </w:rPr>
    </w:lvl>
    <w:lvl w:ilvl="1">
      <w:start w:val="1"/>
      <w:numFmt w:val="decimal"/>
      <w:lvlText w:val="%1.%2."/>
      <w:lvlJc w:val="left"/>
      <w:pPr>
        <w:ind w:left="1637" w:hanging="360"/>
      </w:pPr>
      <w:rPr>
        <w:rFonts w:hint="default"/>
        <w:b/>
        <w:bCs/>
        <w:color w:val="auto"/>
      </w:rPr>
    </w:lvl>
    <w:lvl w:ilvl="2">
      <w:start w:val="1"/>
      <w:numFmt w:val="decimal"/>
      <w:lvlText w:val="%1.%2.%3."/>
      <w:lvlJc w:val="left"/>
      <w:pPr>
        <w:ind w:left="9368" w:hanging="720"/>
      </w:pPr>
      <w:rPr>
        <w:rFonts w:hint="default"/>
        <w:b/>
        <w:bCs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319135A7"/>
    <w:multiLevelType w:val="hybridMultilevel"/>
    <w:tmpl w:val="B7805A9E"/>
    <w:lvl w:ilvl="0" w:tplc="297C07FC">
      <w:start w:val="8"/>
      <w:numFmt w:val="bullet"/>
      <w:lvlText w:val="-"/>
      <w:lvlJc w:val="left"/>
      <w:pPr>
        <w:ind w:left="371" w:hanging="360"/>
      </w:pPr>
      <w:rPr>
        <w:rFonts w:ascii="Times New Roman" w:eastAsiaTheme="minorEastAsia" w:hAnsi="Times New Roman" w:cs="Times New Roman" w:hint="default"/>
      </w:rPr>
    </w:lvl>
    <w:lvl w:ilvl="1" w:tplc="04270003" w:tentative="1">
      <w:start w:val="1"/>
      <w:numFmt w:val="bullet"/>
      <w:lvlText w:val="o"/>
      <w:lvlJc w:val="left"/>
      <w:pPr>
        <w:ind w:left="1091" w:hanging="360"/>
      </w:pPr>
      <w:rPr>
        <w:rFonts w:ascii="Courier New" w:hAnsi="Courier New" w:cs="Courier New" w:hint="default"/>
      </w:rPr>
    </w:lvl>
    <w:lvl w:ilvl="2" w:tplc="04270005" w:tentative="1">
      <w:start w:val="1"/>
      <w:numFmt w:val="bullet"/>
      <w:lvlText w:val=""/>
      <w:lvlJc w:val="left"/>
      <w:pPr>
        <w:ind w:left="1811" w:hanging="360"/>
      </w:pPr>
      <w:rPr>
        <w:rFonts w:ascii="Wingdings" w:hAnsi="Wingdings" w:hint="default"/>
      </w:rPr>
    </w:lvl>
    <w:lvl w:ilvl="3" w:tplc="04270001" w:tentative="1">
      <w:start w:val="1"/>
      <w:numFmt w:val="bullet"/>
      <w:lvlText w:val=""/>
      <w:lvlJc w:val="left"/>
      <w:pPr>
        <w:ind w:left="2531" w:hanging="360"/>
      </w:pPr>
      <w:rPr>
        <w:rFonts w:ascii="Symbol" w:hAnsi="Symbol" w:hint="default"/>
      </w:rPr>
    </w:lvl>
    <w:lvl w:ilvl="4" w:tplc="04270003" w:tentative="1">
      <w:start w:val="1"/>
      <w:numFmt w:val="bullet"/>
      <w:lvlText w:val="o"/>
      <w:lvlJc w:val="left"/>
      <w:pPr>
        <w:ind w:left="3251" w:hanging="360"/>
      </w:pPr>
      <w:rPr>
        <w:rFonts w:ascii="Courier New" w:hAnsi="Courier New" w:cs="Courier New" w:hint="default"/>
      </w:rPr>
    </w:lvl>
    <w:lvl w:ilvl="5" w:tplc="04270005" w:tentative="1">
      <w:start w:val="1"/>
      <w:numFmt w:val="bullet"/>
      <w:lvlText w:val=""/>
      <w:lvlJc w:val="left"/>
      <w:pPr>
        <w:ind w:left="3971" w:hanging="360"/>
      </w:pPr>
      <w:rPr>
        <w:rFonts w:ascii="Wingdings" w:hAnsi="Wingdings" w:hint="default"/>
      </w:rPr>
    </w:lvl>
    <w:lvl w:ilvl="6" w:tplc="04270001" w:tentative="1">
      <w:start w:val="1"/>
      <w:numFmt w:val="bullet"/>
      <w:lvlText w:val=""/>
      <w:lvlJc w:val="left"/>
      <w:pPr>
        <w:ind w:left="4691" w:hanging="360"/>
      </w:pPr>
      <w:rPr>
        <w:rFonts w:ascii="Symbol" w:hAnsi="Symbol" w:hint="default"/>
      </w:rPr>
    </w:lvl>
    <w:lvl w:ilvl="7" w:tplc="04270003" w:tentative="1">
      <w:start w:val="1"/>
      <w:numFmt w:val="bullet"/>
      <w:lvlText w:val="o"/>
      <w:lvlJc w:val="left"/>
      <w:pPr>
        <w:ind w:left="5411" w:hanging="360"/>
      </w:pPr>
      <w:rPr>
        <w:rFonts w:ascii="Courier New" w:hAnsi="Courier New" w:cs="Courier New" w:hint="default"/>
      </w:rPr>
    </w:lvl>
    <w:lvl w:ilvl="8" w:tplc="04270005" w:tentative="1">
      <w:start w:val="1"/>
      <w:numFmt w:val="bullet"/>
      <w:lvlText w:val=""/>
      <w:lvlJc w:val="left"/>
      <w:pPr>
        <w:ind w:left="6131" w:hanging="360"/>
      </w:pPr>
      <w:rPr>
        <w:rFonts w:ascii="Wingdings" w:hAnsi="Wingding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6A05984"/>
    <w:multiLevelType w:val="multilevel"/>
    <w:tmpl w:val="E1CE48B6"/>
    <w:lvl w:ilvl="0">
      <w:start w:val="1"/>
      <w:numFmt w:val="bullet"/>
      <w:lvlText w:val=""/>
      <w:lvlJc w:val="left"/>
      <w:pPr>
        <w:ind w:left="928" w:hanging="360"/>
      </w:pPr>
      <w:rPr>
        <w:rFonts w:ascii="Symbol" w:hAnsi="Symbol" w:hint="default"/>
        <w:b w:val="0"/>
        <w:i w:val="0"/>
        <w:sz w:val="24"/>
        <w:szCs w:val="24"/>
      </w:rPr>
    </w:lvl>
    <w:lvl w:ilvl="1">
      <w:start w:val="1"/>
      <w:numFmt w:val="bullet"/>
      <w:lvlText w:val=""/>
      <w:lvlJc w:val="left"/>
      <w:pPr>
        <w:ind w:left="720" w:hanging="360"/>
      </w:pPr>
      <w:rPr>
        <w:rFonts w:ascii="Symbol" w:hAnsi="Symbol" w:hint="default"/>
      </w:rPr>
    </w:lvl>
    <w:lvl w:ilvl="2">
      <w:start w:val="1"/>
      <w:numFmt w:val="decimal"/>
      <w:lvlText w:val="%1.%2.%3."/>
      <w:lvlJc w:val="left"/>
      <w:pPr>
        <w:ind w:left="929" w:hanging="504"/>
      </w:pPr>
      <w:rPr>
        <w:rFonts w:ascii="Times New Roman" w:hAnsi="Times New Roman" w:cs="Times New Roman"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CE026F7"/>
    <w:multiLevelType w:val="multilevel"/>
    <w:tmpl w:val="EAE02E92"/>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ascii="Times New Roman" w:eastAsia="Calibri" w:hAnsi="Times New Roman" w:cs="Times New Roman" w:hint="default"/>
        <w:i w:val="0"/>
        <w:iCs w:val="0"/>
        <w:color w:val="auto"/>
        <w:sz w:val="24"/>
        <w:szCs w:val="24"/>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3D983317"/>
    <w:multiLevelType w:val="multilevel"/>
    <w:tmpl w:val="A83ED6D2"/>
    <w:lvl w:ilvl="0">
      <w:start w:val="11"/>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430901C0"/>
    <w:multiLevelType w:val="hybridMultilevel"/>
    <w:tmpl w:val="BC9E7320"/>
    <w:lvl w:ilvl="0" w:tplc="0427000B">
      <w:start w:val="1"/>
      <w:numFmt w:val="bullet"/>
      <w:lvlText w:val=""/>
      <w:lvlJc w:val="left"/>
      <w:pPr>
        <w:ind w:left="1352"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9841C90"/>
    <w:multiLevelType w:val="multilevel"/>
    <w:tmpl w:val="BF2C9574"/>
    <w:lvl w:ilvl="0">
      <w:start w:val="1"/>
      <w:numFmt w:val="decimal"/>
      <w:lvlText w:val="%1."/>
      <w:lvlJc w:val="left"/>
      <w:pPr>
        <w:ind w:left="2770" w:hanging="360"/>
      </w:pPr>
      <w:rPr>
        <w:rFonts w:ascii="Times New Roman" w:hAnsi="Times New Roman" w:cs="Times New Roman" w:hint="default"/>
        <w:b w:val="0"/>
        <w:i w:val="0"/>
        <w:sz w:val="24"/>
        <w:szCs w:val="24"/>
      </w:rPr>
    </w:lvl>
    <w:lvl w:ilvl="1">
      <w:start w:val="1"/>
      <w:numFmt w:val="bullet"/>
      <w:lvlText w:val=""/>
      <w:lvlJc w:val="left"/>
      <w:pPr>
        <w:ind w:left="720" w:hanging="360"/>
      </w:pPr>
      <w:rPr>
        <w:rFonts w:ascii="Symbol" w:hAnsi="Symbol" w:hint="default"/>
      </w:rPr>
    </w:lvl>
    <w:lvl w:ilvl="2">
      <w:start w:val="1"/>
      <w:numFmt w:val="decimal"/>
      <w:lvlText w:val="%1.%2.%3."/>
      <w:lvlJc w:val="left"/>
      <w:pPr>
        <w:ind w:left="929" w:hanging="504"/>
      </w:pPr>
      <w:rPr>
        <w:rFonts w:ascii="Times New Roman" w:hAnsi="Times New Roman" w:cs="Times New Roman"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99758E1"/>
    <w:multiLevelType w:val="hybridMultilevel"/>
    <w:tmpl w:val="B494095E"/>
    <w:lvl w:ilvl="0" w:tplc="28D2695E">
      <w:numFmt w:val="bullet"/>
      <w:lvlText w:val=""/>
      <w:lvlJc w:val="left"/>
      <w:pPr>
        <w:ind w:left="1080" w:hanging="360"/>
      </w:pPr>
      <w:rPr>
        <w:rFonts w:ascii="Symbol" w:eastAsia="Calibri"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0" w15:restartNumberingAfterBreak="0">
    <w:nsid w:val="4CEE19FA"/>
    <w:multiLevelType w:val="hybridMultilevel"/>
    <w:tmpl w:val="309C260A"/>
    <w:lvl w:ilvl="0" w:tplc="11CE800E">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1"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A3905BF"/>
    <w:multiLevelType w:val="hybridMultilevel"/>
    <w:tmpl w:val="0F42C738"/>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4" w15:restartNumberingAfterBreak="0">
    <w:nsid w:val="5AF70ACF"/>
    <w:multiLevelType w:val="hybridMultilevel"/>
    <w:tmpl w:val="98FA3CEE"/>
    <w:lvl w:ilvl="0" w:tplc="795ACDCC">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EB33BF7"/>
    <w:multiLevelType w:val="hybridMultilevel"/>
    <w:tmpl w:val="7FC06AF4"/>
    <w:lvl w:ilvl="0" w:tplc="2D42B07E">
      <w:start w:val="2"/>
      <w:numFmt w:val="bullet"/>
      <w:lvlText w:val="-"/>
      <w:lvlJc w:val="left"/>
      <w:pPr>
        <w:ind w:left="1069" w:hanging="360"/>
      </w:pPr>
      <w:rPr>
        <w:rFonts w:ascii="Times New Roman" w:eastAsia="Calibri"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26"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D24970"/>
    <w:multiLevelType w:val="multilevel"/>
    <w:tmpl w:val="2B4ECBBC"/>
    <w:styleLink w:val="Esamassraas1"/>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769624D"/>
    <w:multiLevelType w:val="multilevel"/>
    <w:tmpl w:val="BF2C9574"/>
    <w:lvl w:ilvl="0">
      <w:start w:val="1"/>
      <w:numFmt w:val="decimal"/>
      <w:lvlText w:val="%1."/>
      <w:lvlJc w:val="left"/>
      <w:pPr>
        <w:ind w:left="2770" w:hanging="360"/>
      </w:pPr>
      <w:rPr>
        <w:rFonts w:ascii="Times New Roman" w:hAnsi="Times New Roman" w:cs="Times New Roman" w:hint="default"/>
        <w:b w:val="0"/>
        <w:i w:val="0"/>
        <w:sz w:val="24"/>
        <w:szCs w:val="24"/>
      </w:rPr>
    </w:lvl>
    <w:lvl w:ilvl="1">
      <w:start w:val="1"/>
      <w:numFmt w:val="bullet"/>
      <w:lvlText w:val=""/>
      <w:lvlJc w:val="left"/>
      <w:pPr>
        <w:ind w:left="720" w:hanging="360"/>
      </w:pPr>
      <w:rPr>
        <w:rFonts w:ascii="Symbol" w:hAnsi="Symbol" w:hint="default"/>
      </w:rPr>
    </w:lvl>
    <w:lvl w:ilvl="2">
      <w:start w:val="1"/>
      <w:numFmt w:val="decimal"/>
      <w:lvlText w:val="%1.%2.%3."/>
      <w:lvlJc w:val="left"/>
      <w:pPr>
        <w:ind w:left="929" w:hanging="504"/>
      </w:pPr>
      <w:rPr>
        <w:rFonts w:ascii="Times New Roman" w:hAnsi="Times New Roman" w:cs="Times New Roman"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3D2677"/>
    <w:multiLevelType w:val="hybridMultilevel"/>
    <w:tmpl w:val="521EAC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6" w15:restartNumberingAfterBreak="0">
    <w:nsid w:val="726C7634"/>
    <w:multiLevelType w:val="multilevel"/>
    <w:tmpl w:val="BF2C9574"/>
    <w:lvl w:ilvl="0">
      <w:start w:val="1"/>
      <w:numFmt w:val="decimal"/>
      <w:lvlText w:val="%1."/>
      <w:lvlJc w:val="left"/>
      <w:pPr>
        <w:ind w:left="928" w:hanging="360"/>
      </w:pPr>
      <w:rPr>
        <w:rFonts w:ascii="Times New Roman" w:hAnsi="Times New Roman" w:cs="Times New Roman" w:hint="default"/>
        <w:b w:val="0"/>
        <w:i w:val="0"/>
        <w:sz w:val="24"/>
        <w:szCs w:val="24"/>
      </w:rPr>
    </w:lvl>
    <w:lvl w:ilvl="1">
      <w:start w:val="1"/>
      <w:numFmt w:val="bullet"/>
      <w:lvlText w:val=""/>
      <w:lvlJc w:val="left"/>
      <w:pPr>
        <w:ind w:left="720" w:hanging="360"/>
      </w:pPr>
      <w:rPr>
        <w:rFonts w:ascii="Symbol" w:hAnsi="Symbol" w:hint="default"/>
      </w:rPr>
    </w:lvl>
    <w:lvl w:ilvl="2">
      <w:start w:val="1"/>
      <w:numFmt w:val="decimal"/>
      <w:lvlText w:val="%1.%2.%3."/>
      <w:lvlJc w:val="left"/>
      <w:pPr>
        <w:ind w:left="929" w:hanging="504"/>
      </w:pPr>
      <w:rPr>
        <w:rFonts w:ascii="Times New Roman" w:hAnsi="Times New Roman" w:cs="Times New Roman"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46F1239"/>
    <w:multiLevelType w:val="multilevel"/>
    <w:tmpl w:val="D4F2E3BE"/>
    <w:lvl w:ilvl="0">
      <w:start w:val="1"/>
      <w:numFmt w:val="decimal"/>
      <w:lvlText w:val="%1."/>
      <w:lvlJc w:val="left"/>
      <w:pPr>
        <w:ind w:left="360" w:hanging="360"/>
      </w:pPr>
      <w:rPr>
        <w:rFonts w:hint="default"/>
        <w:color w:val="auto"/>
      </w:rPr>
    </w:lvl>
    <w:lvl w:ilvl="1">
      <w:start w:val="4"/>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15:restartNumberingAfterBreak="0">
    <w:nsid w:val="747A38CE"/>
    <w:multiLevelType w:val="multilevel"/>
    <w:tmpl w:val="E9D66DC6"/>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9" w15:restartNumberingAfterBreak="0">
    <w:nsid w:val="77902769"/>
    <w:multiLevelType w:val="hybridMultilevel"/>
    <w:tmpl w:val="FCBC7B48"/>
    <w:lvl w:ilvl="0" w:tplc="F86879B8">
      <w:start w:val="2"/>
      <w:numFmt w:val="bullet"/>
      <w:lvlText w:val=""/>
      <w:lvlJc w:val="left"/>
      <w:pPr>
        <w:ind w:left="720" w:hanging="360"/>
      </w:pPr>
      <w:rPr>
        <w:rFonts w:ascii="Symbol" w:eastAsia="Calibri" w:hAnsi="Symbol" w:cs="Times New Roman" w:hint="default"/>
        <w:color w:val="FF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9521A03"/>
    <w:multiLevelType w:val="multilevel"/>
    <w:tmpl w:val="7EC81BA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ascii="Times New Roman" w:hAnsi="Times New Roman" w:cs="Times New Roman" w:hint="default"/>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2" w15:restartNumberingAfterBreak="0">
    <w:nsid w:val="7D7F4832"/>
    <w:multiLevelType w:val="hybridMultilevel"/>
    <w:tmpl w:val="AA202DC6"/>
    <w:lvl w:ilvl="0" w:tplc="3D6A7A50">
      <w:start w:val="5"/>
      <w:numFmt w:val="upperRoman"/>
      <w:lvlText w:val="%1."/>
      <w:lvlJc w:val="left"/>
      <w:pPr>
        <w:ind w:left="1429" w:hanging="72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683626454">
    <w:abstractNumId w:val="9"/>
  </w:num>
  <w:num w:numId="2" w16cid:durableId="920599310">
    <w:abstractNumId w:val="22"/>
  </w:num>
  <w:num w:numId="3" w16cid:durableId="2087649705">
    <w:abstractNumId w:val="37"/>
  </w:num>
  <w:num w:numId="4" w16cid:durableId="150293640">
    <w:abstractNumId w:val="26"/>
  </w:num>
  <w:num w:numId="5" w16cid:durableId="1419911310">
    <w:abstractNumId w:val="41"/>
  </w:num>
  <w:num w:numId="6" w16cid:durableId="2051681031">
    <w:abstractNumId w:val="21"/>
  </w:num>
  <w:num w:numId="7" w16cid:durableId="535001536">
    <w:abstractNumId w:val="4"/>
  </w:num>
  <w:num w:numId="8" w16cid:durableId="1302660056">
    <w:abstractNumId w:val="5"/>
  </w:num>
  <w:num w:numId="9" w16cid:durableId="496312465">
    <w:abstractNumId w:val="38"/>
  </w:num>
  <w:num w:numId="10" w16cid:durableId="1540433218">
    <w:abstractNumId w:val="15"/>
  </w:num>
  <w:num w:numId="11" w16cid:durableId="2144734905">
    <w:abstractNumId w:val="28"/>
  </w:num>
  <w:num w:numId="12" w16cid:durableId="102456856">
    <w:abstractNumId w:val="14"/>
  </w:num>
  <w:num w:numId="13" w16cid:durableId="1312489879">
    <w:abstractNumId w:val="12"/>
  </w:num>
  <w:num w:numId="14" w16cid:durableId="1329946461">
    <w:abstractNumId w:val="31"/>
  </w:num>
  <w:num w:numId="15" w16cid:durableId="790974062">
    <w:abstractNumId w:val="27"/>
  </w:num>
  <w:num w:numId="16" w16cid:durableId="1887641149">
    <w:abstractNumId w:val="35"/>
  </w:num>
  <w:num w:numId="17" w16cid:durableId="1260405323">
    <w:abstractNumId w:val="19"/>
  </w:num>
  <w:num w:numId="18" w16cid:durableId="1255626817">
    <w:abstractNumId w:val="29"/>
  </w:num>
  <w:num w:numId="19" w16cid:durableId="855383545">
    <w:abstractNumId w:val="33"/>
  </w:num>
  <w:num w:numId="20" w16cid:durableId="124274590">
    <w:abstractNumId w:val="0"/>
  </w:num>
  <w:num w:numId="21" w16cid:durableId="1948652953">
    <w:abstractNumId w:val="40"/>
  </w:num>
  <w:num w:numId="22" w16cid:durableId="1072897115">
    <w:abstractNumId w:val="17"/>
  </w:num>
  <w:num w:numId="23" w16cid:durableId="461774520">
    <w:abstractNumId w:val="13"/>
  </w:num>
  <w:num w:numId="24" w16cid:durableId="198518114">
    <w:abstractNumId w:val="36"/>
  </w:num>
  <w:num w:numId="25" w16cid:durableId="1823421167">
    <w:abstractNumId w:val="1"/>
  </w:num>
  <w:num w:numId="26" w16cid:durableId="4946840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64073091">
    <w:abstractNumId w:val="20"/>
  </w:num>
  <w:num w:numId="28" w16cid:durableId="813109521">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6224455">
    <w:abstractNumId w:val="8"/>
  </w:num>
  <w:num w:numId="30" w16cid:durableId="2061320978">
    <w:abstractNumId w:val="23"/>
  </w:num>
  <w:num w:numId="31" w16cid:durableId="1344287089">
    <w:abstractNumId w:val="2"/>
  </w:num>
  <w:num w:numId="32" w16cid:durableId="1821458573">
    <w:abstractNumId w:val="7"/>
  </w:num>
  <w:num w:numId="33" w16cid:durableId="707292752">
    <w:abstractNumId w:val="24"/>
  </w:num>
  <w:num w:numId="34" w16cid:durableId="2104646035">
    <w:abstractNumId w:val="25"/>
  </w:num>
  <w:num w:numId="35" w16cid:durableId="1701474861">
    <w:abstractNumId w:val="39"/>
  </w:num>
  <w:num w:numId="36" w16cid:durableId="762334618">
    <w:abstractNumId w:val="3"/>
  </w:num>
  <w:num w:numId="37" w16cid:durableId="80881620">
    <w:abstractNumId w:val="30"/>
  </w:num>
  <w:num w:numId="38" w16cid:durableId="922028059">
    <w:abstractNumId w:val="11"/>
  </w:num>
  <w:num w:numId="39" w16cid:durableId="614555114">
    <w:abstractNumId w:val="18"/>
  </w:num>
  <w:num w:numId="40" w16cid:durableId="1882091725">
    <w:abstractNumId w:val="32"/>
  </w:num>
  <w:num w:numId="41" w16cid:durableId="1194071769">
    <w:abstractNumId w:val="16"/>
  </w:num>
  <w:num w:numId="42" w16cid:durableId="144664646">
    <w:abstractNumId w:val="42"/>
  </w:num>
  <w:num w:numId="43" w16cid:durableId="826173353">
    <w:abstractNumId w:val="10"/>
  </w:num>
  <w:num w:numId="44" w16cid:durableId="437140803">
    <w:abstractNumId w:val="3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6F51"/>
    <w:rsid w:val="00000399"/>
    <w:rsid w:val="00000D9C"/>
    <w:rsid w:val="00000EB3"/>
    <w:rsid w:val="00001439"/>
    <w:rsid w:val="00001B8E"/>
    <w:rsid w:val="000020FF"/>
    <w:rsid w:val="00002151"/>
    <w:rsid w:val="00002F82"/>
    <w:rsid w:val="00005075"/>
    <w:rsid w:val="000065C8"/>
    <w:rsid w:val="00006781"/>
    <w:rsid w:val="000078F5"/>
    <w:rsid w:val="000101DA"/>
    <w:rsid w:val="000104F5"/>
    <w:rsid w:val="00010EB3"/>
    <w:rsid w:val="0001105C"/>
    <w:rsid w:val="000113EE"/>
    <w:rsid w:val="00012500"/>
    <w:rsid w:val="0001278D"/>
    <w:rsid w:val="00012F74"/>
    <w:rsid w:val="000135A7"/>
    <w:rsid w:val="0001536A"/>
    <w:rsid w:val="00015A2E"/>
    <w:rsid w:val="00016808"/>
    <w:rsid w:val="00017536"/>
    <w:rsid w:val="000177EB"/>
    <w:rsid w:val="00017809"/>
    <w:rsid w:val="00017A52"/>
    <w:rsid w:val="00017F7E"/>
    <w:rsid w:val="00020A2E"/>
    <w:rsid w:val="00020BB1"/>
    <w:rsid w:val="00020EE1"/>
    <w:rsid w:val="00021280"/>
    <w:rsid w:val="000217C3"/>
    <w:rsid w:val="0002184A"/>
    <w:rsid w:val="00021BE2"/>
    <w:rsid w:val="00022042"/>
    <w:rsid w:val="000221A8"/>
    <w:rsid w:val="000227D4"/>
    <w:rsid w:val="00022932"/>
    <w:rsid w:val="0002544F"/>
    <w:rsid w:val="000266EB"/>
    <w:rsid w:val="00026E19"/>
    <w:rsid w:val="00027467"/>
    <w:rsid w:val="0002754B"/>
    <w:rsid w:val="00030047"/>
    <w:rsid w:val="00030650"/>
    <w:rsid w:val="0003297F"/>
    <w:rsid w:val="00032C73"/>
    <w:rsid w:val="00032E6A"/>
    <w:rsid w:val="00033944"/>
    <w:rsid w:val="0003416D"/>
    <w:rsid w:val="00034522"/>
    <w:rsid w:val="00035AE2"/>
    <w:rsid w:val="00035AE8"/>
    <w:rsid w:val="00035EF7"/>
    <w:rsid w:val="000366DF"/>
    <w:rsid w:val="00036A5D"/>
    <w:rsid w:val="00036AF4"/>
    <w:rsid w:val="00036BC0"/>
    <w:rsid w:val="0003790A"/>
    <w:rsid w:val="00037B4E"/>
    <w:rsid w:val="00040056"/>
    <w:rsid w:val="000403BC"/>
    <w:rsid w:val="00041170"/>
    <w:rsid w:val="00041B48"/>
    <w:rsid w:val="00041E6F"/>
    <w:rsid w:val="000431AF"/>
    <w:rsid w:val="0004333D"/>
    <w:rsid w:val="0004384A"/>
    <w:rsid w:val="00043975"/>
    <w:rsid w:val="000439E9"/>
    <w:rsid w:val="00043ABE"/>
    <w:rsid w:val="00043AF2"/>
    <w:rsid w:val="000440A4"/>
    <w:rsid w:val="000449BF"/>
    <w:rsid w:val="00045900"/>
    <w:rsid w:val="00047BC9"/>
    <w:rsid w:val="00050B02"/>
    <w:rsid w:val="00050C37"/>
    <w:rsid w:val="00051A16"/>
    <w:rsid w:val="00052BA4"/>
    <w:rsid w:val="00053110"/>
    <w:rsid w:val="00054369"/>
    <w:rsid w:val="00054956"/>
    <w:rsid w:val="000556EC"/>
    <w:rsid w:val="000563A9"/>
    <w:rsid w:val="0005687D"/>
    <w:rsid w:val="00057735"/>
    <w:rsid w:val="00057957"/>
    <w:rsid w:val="00057CF0"/>
    <w:rsid w:val="000600CB"/>
    <w:rsid w:val="000605B2"/>
    <w:rsid w:val="00060633"/>
    <w:rsid w:val="0006097D"/>
    <w:rsid w:val="00060FA9"/>
    <w:rsid w:val="00060FAC"/>
    <w:rsid w:val="000613AE"/>
    <w:rsid w:val="00062407"/>
    <w:rsid w:val="00062AD7"/>
    <w:rsid w:val="00062C7C"/>
    <w:rsid w:val="0006302F"/>
    <w:rsid w:val="00063038"/>
    <w:rsid w:val="0006336A"/>
    <w:rsid w:val="0006373F"/>
    <w:rsid w:val="00063B8F"/>
    <w:rsid w:val="00064551"/>
    <w:rsid w:val="0006501A"/>
    <w:rsid w:val="00066E37"/>
    <w:rsid w:val="00066ECE"/>
    <w:rsid w:val="00067066"/>
    <w:rsid w:val="0006723F"/>
    <w:rsid w:val="00067421"/>
    <w:rsid w:val="00070D20"/>
    <w:rsid w:val="00070EE1"/>
    <w:rsid w:val="00071458"/>
    <w:rsid w:val="00071F06"/>
    <w:rsid w:val="00072013"/>
    <w:rsid w:val="00072147"/>
    <w:rsid w:val="00073095"/>
    <w:rsid w:val="000735E7"/>
    <w:rsid w:val="000747D3"/>
    <w:rsid w:val="00074DFF"/>
    <w:rsid w:val="000752E9"/>
    <w:rsid w:val="000759B6"/>
    <w:rsid w:val="00075E5A"/>
    <w:rsid w:val="00076284"/>
    <w:rsid w:val="000762B9"/>
    <w:rsid w:val="00076E64"/>
    <w:rsid w:val="00077260"/>
    <w:rsid w:val="0007761D"/>
    <w:rsid w:val="000805AF"/>
    <w:rsid w:val="000820B0"/>
    <w:rsid w:val="00082F45"/>
    <w:rsid w:val="00083BF2"/>
    <w:rsid w:val="000841CC"/>
    <w:rsid w:val="00084BC5"/>
    <w:rsid w:val="0008518E"/>
    <w:rsid w:val="00085BE2"/>
    <w:rsid w:val="000862E4"/>
    <w:rsid w:val="00087574"/>
    <w:rsid w:val="0008780C"/>
    <w:rsid w:val="00087963"/>
    <w:rsid w:val="00087D58"/>
    <w:rsid w:val="00087E42"/>
    <w:rsid w:val="0009015D"/>
    <w:rsid w:val="00090839"/>
    <w:rsid w:val="00090D78"/>
    <w:rsid w:val="0009105A"/>
    <w:rsid w:val="000911FE"/>
    <w:rsid w:val="00091EBB"/>
    <w:rsid w:val="00093E9C"/>
    <w:rsid w:val="0009427E"/>
    <w:rsid w:val="000944BA"/>
    <w:rsid w:val="000944E3"/>
    <w:rsid w:val="00094A75"/>
    <w:rsid w:val="00094C04"/>
    <w:rsid w:val="00094E22"/>
    <w:rsid w:val="00095369"/>
    <w:rsid w:val="0009583A"/>
    <w:rsid w:val="00095CFA"/>
    <w:rsid w:val="00095F98"/>
    <w:rsid w:val="00096230"/>
    <w:rsid w:val="00097212"/>
    <w:rsid w:val="00097288"/>
    <w:rsid w:val="000978F0"/>
    <w:rsid w:val="00097BFE"/>
    <w:rsid w:val="000A0F86"/>
    <w:rsid w:val="000A1080"/>
    <w:rsid w:val="000A1154"/>
    <w:rsid w:val="000A175B"/>
    <w:rsid w:val="000A208D"/>
    <w:rsid w:val="000A2D08"/>
    <w:rsid w:val="000A3105"/>
    <w:rsid w:val="000A35B5"/>
    <w:rsid w:val="000A3672"/>
    <w:rsid w:val="000A3C0A"/>
    <w:rsid w:val="000A4092"/>
    <w:rsid w:val="000A4523"/>
    <w:rsid w:val="000A4CB6"/>
    <w:rsid w:val="000A533C"/>
    <w:rsid w:val="000A5527"/>
    <w:rsid w:val="000A55CF"/>
    <w:rsid w:val="000A5C6E"/>
    <w:rsid w:val="000A6B2C"/>
    <w:rsid w:val="000B237A"/>
    <w:rsid w:val="000B2F2F"/>
    <w:rsid w:val="000B36CB"/>
    <w:rsid w:val="000B3DBF"/>
    <w:rsid w:val="000B3E12"/>
    <w:rsid w:val="000B419B"/>
    <w:rsid w:val="000B420F"/>
    <w:rsid w:val="000B4C4D"/>
    <w:rsid w:val="000B6175"/>
    <w:rsid w:val="000B6A5B"/>
    <w:rsid w:val="000B731F"/>
    <w:rsid w:val="000B73C1"/>
    <w:rsid w:val="000B7E2C"/>
    <w:rsid w:val="000C00D0"/>
    <w:rsid w:val="000C0AC3"/>
    <w:rsid w:val="000C1804"/>
    <w:rsid w:val="000C2AE9"/>
    <w:rsid w:val="000C2EE3"/>
    <w:rsid w:val="000C3A7E"/>
    <w:rsid w:val="000C3D6A"/>
    <w:rsid w:val="000C4141"/>
    <w:rsid w:val="000C4150"/>
    <w:rsid w:val="000C45E1"/>
    <w:rsid w:val="000C4DC7"/>
    <w:rsid w:val="000C4F65"/>
    <w:rsid w:val="000C5ABA"/>
    <w:rsid w:val="000C5E93"/>
    <w:rsid w:val="000C68D0"/>
    <w:rsid w:val="000C7308"/>
    <w:rsid w:val="000D020C"/>
    <w:rsid w:val="000D02EC"/>
    <w:rsid w:val="000D0679"/>
    <w:rsid w:val="000D1313"/>
    <w:rsid w:val="000D1CB5"/>
    <w:rsid w:val="000D1CCE"/>
    <w:rsid w:val="000D255A"/>
    <w:rsid w:val="000D2ACE"/>
    <w:rsid w:val="000D2AE7"/>
    <w:rsid w:val="000D2EE3"/>
    <w:rsid w:val="000D33D3"/>
    <w:rsid w:val="000D347E"/>
    <w:rsid w:val="000D3685"/>
    <w:rsid w:val="000D3A20"/>
    <w:rsid w:val="000D3B3A"/>
    <w:rsid w:val="000D4494"/>
    <w:rsid w:val="000D4853"/>
    <w:rsid w:val="000D5154"/>
    <w:rsid w:val="000D59E6"/>
    <w:rsid w:val="000D5A4D"/>
    <w:rsid w:val="000D5B65"/>
    <w:rsid w:val="000D5BAB"/>
    <w:rsid w:val="000D61D3"/>
    <w:rsid w:val="000D6CA7"/>
    <w:rsid w:val="000D722A"/>
    <w:rsid w:val="000E008F"/>
    <w:rsid w:val="000E0BB3"/>
    <w:rsid w:val="000E151D"/>
    <w:rsid w:val="000E164B"/>
    <w:rsid w:val="000E1B93"/>
    <w:rsid w:val="000E1E24"/>
    <w:rsid w:val="000E45FE"/>
    <w:rsid w:val="000E566E"/>
    <w:rsid w:val="000E5759"/>
    <w:rsid w:val="000E601E"/>
    <w:rsid w:val="000E7D4B"/>
    <w:rsid w:val="000F02AA"/>
    <w:rsid w:val="000F0B90"/>
    <w:rsid w:val="000F192B"/>
    <w:rsid w:val="000F250C"/>
    <w:rsid w:val="000F30D8"/>
    <w:rsid w:val="000F38DC"/>
    <w:rsid w:val="000F45E1"/>
    <w:rsid w:val="000F5246"/>
    <w:rsid w:val="000F5901"/>
    <w:rsid w:val="000F5F5A"/>
    <w:rsid w:val="000F6B86"/>
    <w:rsid w:val="000F761B"/>
    <w:rsid w:val="000F7E36"/>
    <w:rsid w:val="00101490"/>
    <w:rsid w:val="00101E17"/>
    <w:rsid w:val="00101E23"/>
    <w:rsid w:val="001021EF"/>
    <w:rsid w:val="001026AF"/>
    <w:rsid w:val="00102D8D"/>
    <w:rsid w:val="00103B12"/>
    <w:rsid w:val="00103CA3"/>
    <w:rsid w:val="00104862"/>
    <w:rsid w:val="00104F75"/>
    <w:rsid w:val="00105D9E"/>
    <w:rsid w:val="00105DC5"/>
    <w:rsid w:val="00110186"/>
    <w:rsid w:val="001104B2"/>
    <w:rsid w:val="001106B9"/>
    <w:rsid w:val="00111C9C"/>
    <w:rsid w:val="00111ECE"/>
    <w:rsid w:val="001120C9"/>
    <w:rsid w:val="00112893"/>
    <w:rsid w:val="00112F2B"/>
    <w:rsid w:val="0011302A"/>
    <w:rsid w:val="00113AB3"/>
    <w:rsid w:val="001142EC"/>
    <w:rsid w:val="001150F7"/>
    <w:rsid w:val="0011626B"/>
    <w:rsid w:val="00116F99"/>
    <w:rsid w:val="00117983"/>
    <w:rsid w:val="00117B34"/>
    <w:rsid w:val="0012003F"/>
    <w:rsid w:val="0012012E"/>
    <w:rsid w:val="00120930"/>
    <w:rsid w:val="00120962"/>
    <w:rsid w:val="00121075"/>
    <w:rsid w:val="001215F9"/>
    <w:rsid w:val="001223CD"/>
    <w:rsid w:val="00122BD9"/>
    <w:rsid w:val="00123336"/>
    <w:rsid w:val="00123799"/>
    <w:rsid w:val="00123D8A"/>
    <w:rsid w:val="001244A1"/>
    <w:rsid w:val="00124899"/>
    <w:rsid w:val="00124D31"/>
    <w:rsid w:val="00125B33"/>
    <w:rsid w:val="00125E8E"/>
    <w:rsid w:val="0012674D"/>
    <w:rsid w:val="001270B2"/>
    <w:rsid w:val="00127C69"/>
    <w:rsid w:val="001300D9"/>
    <w:rsid w:val="00130649"/>
    <w:rsid w:val="001315A2"/>
    <w:rsid w:val="0013220D"/>
    <w:rsid w:val="0013251F"/>
    <w:rsid w:val="00132594"/>
    <w:rsid w:val="00132654"/>
    <w:rsid w:val="00132A5C"/>
    <w:rsid w:val="00133419"/>
    <w:rsid w:val="0013397C"/>
    <w:rsid w:val="00133F90"/>
    <w:rsid w:val="00135150"/>
    <w:rsid w:val="00135F9A"/>
    <w:rsid w:val="00136669"/>
    <w:rsid w:val="00137586"/>
    <w:rsid w:val="001375D3"/>
    <w:rsid w:val="00137CCA"/>
    <w:rsid w:val="00137DA4"/>
    <w:rsid w:val="00140EF1"/>
    <w:rsid w:val="0014122B"/>
    <w:rsid w:val="00141A87"/>
    <w:rsid w:val="0014204B"/>
    <w:rsid w:val="001432F9"/>
    <w:rsid w:val="00143A90"/>
    <w:rsid w:val="00143EC9"/>
    <w:rsid w:val="0014403A"/>
    <w:rsid w:val="00144F62"/>
    <w:rsid w:val="001453C9"/>
    <w:rsid w:val="00146293"/>
    <w:rsid w:val="00146C10"/>
    <w:rsid w:val="0014700B"/>
    <w:rsid w:val="00147275"/>
    <w:rsid w:val="001473EA"/>
    <w:rsid w:val="0014754C"/>
    <w:rsid w:val="00150392"/>
    <w:rsid w:val="00150A66"/>
    <w:rsid w:val="00151D6E"/>
    <w:rsid w:val="00151E23"/>
    <w:rsid w:val="00151EA2"/>
    <w:rsid w:val="0015200B"/>
    <w:rsid w:val="0015210C"/>
    <w:rsid w:val="00152230"/>
    <w:rsid w:val="001523F6"/>
    <w:rsid w:val="00153443"/>
    <w:rsid w:val="00154D9B"/>
    <w:rsid w:val="0015643E"/>
    <w:rsid w:val="001572E9"/>
    <w:rsid w:val="001574E7"/>
    <w:rsid w:val="00157E10"/>
    <w:rsid w:val="00160AF2"/>
    <w:rsid w:val="001612AE"/>
    <w:rsid w:val="00161411"/>
    <w:rsid w:val="001614A5"/>
    <w:rsid w:val="001619CF"/>
    <w:rsid w:val="00161EFE"/>
    <w:rsid w:val="0016228C"/>
    <w:rsid w:val="00162491"/>
    <w:rsid w:val="00164C31"/>
    <w:rsid w:val="00165028"/>
    <w:rsid w:val="00165228"/>
    <w:rsid w:val="001662B6"/>
    <w:rsid w:val="0016647C"/>
    <w:rsid w:val="00166EFB"/>
    <w:rsid w:val="001672E5"/>
    <w:rsid w:val="00167A4C"/>
    <w:rsid w:val="001703AC"/>
    <w:rsid w:val="0017060D"/>
    <w:rsid w:val="001732AB"/>
    <w:rsid w:val="001742B4"/>
    <w:rsid w:val="00174DC0"/>
    <w:rsid w:val="001751EB"/>
    <w:rsid w:val="00175A33"/>
    <w:rsid w:val="00175F43"/>
    <w:rsid w:val="001764CB"/>
    <w:rsid w:val="00176571"/>
    <w:rsid w:val="00177045"/>
    <w:rsid w:val="0018064D"/>
    <w:rsid w:val="00180944"/>
    <w:rsid w:val="00180E34"/>
    <w:rsid w:val="00180E7D"/>
    <w:rsid w:val="001816F1"/>
    <w:rsid w:val="00181CB9"/>
    <w:rsid w:val="00182303"/>
    <w:rsid w:val="00182EC1"/>
    <w:rsid w:val="001832FA"/>
    <w:rsid w:val="00184FDA"/>
    <w:rsid w:val="00185128"/>
    <w:rsid w:val="00185F27"/>
    <w:rsid w:val="00186D34"/>
    <w:rsid w:val="00186FB9"/>
    <w:rsid w:val="00186FF6"/>
    <w:rsid w:val="0018759C"/>
    <w:rsid w:val="001875AF"/>
    <w:rsid w:val="001901F1"/>
    <w:rsid w:val="001906D3"/>
    <w:rsid w:val="001912AE"/>
    <w:rsid w:val="0019163B"/>
    <w:rsid w:val="00191B98"/>
    <w:rsid w:val="00191D07"/>
    <w:rsid w:val="00192D5E"/>
    <w:rsid w:val="00193AF7"/>
    <w:rsid w:val="00194360"/>
    <w:rsid w:val="001943E6"/>
    <w:rsid w:val="00194608"/>
    <w:rsid w:val="00194946"/>
    <w:rsid w:val="00195BFC"/>
    <w:rsid w:val="00195E91"/>
    <w:rsid w:val="00195F39"/>
    <w:rsid w:val="001972D1"/>
    <w:rsid w:val="00197886"/>
    <w:rsid w:val="00197D02"/>
    <w:rsid w:val="001A037E"/>
    <w:rsid w:val="001A04E8"/>
    <w:rsid w:val="001A0833"/>
    <w:rsid w:val="001A1784"/>
    <w:rsid w:val="001A3017"/>
    <w:rsid w:val="001A3230"/>
    <w:rsid w:val="001A3303"/>
    <w:rsid w:val="001A36D3"/>
    <w:rsid w:val="001A3AFB"/>
    <w:rsid w:val="001A41CF"/>
    <w:rsid w:val="001A4D98"/>
    <w:rsid w:val="001A4DE9"/>
    <w:rsid w:val="001A691C"/>
    <w:rsid w:val="001A7362"/>
    <w:rsid w:val="001A7A12"/>
    <w:rsid w:val="001A7E96"/>
    <w:rsid w:val="001B05B9"/>
    <w:rsid w:val="001B208E"/>
    <w:rsid w:val="001B214C"/>
    <w:rsid w:val="001B2325"/>
    <w:rsid w:val="001B2485"/>
    <w:rsid w:val="001B2947"/>
    <w:rsid w:val="001B2E43"/>
    <w:rsid w:val="001B30AA"/>
    <w:rsid w:val="001B3585"/>
    <w:rsid w:val="001B3BED"/>
    <w:rsid w:val="001B50CF"/>
    <w:rsid w:val="001B51EC"/>
    <w:rsid w:val="001B596D"/>
    <w:rsid w:val="001B59C1"/>
    <w:rsid w:val="001B5C22"/>
    <w:rsid w:val="001B6C17"/>
    <w:rsid w:val="001B6C29"/>
    <w:rsid w:val="001B76F0"/>
    <w:rsid w:val="001C1025"/>
    <w:rsid w:val="001C1044"/>
    <w:rsid w:val="001C1B35"/>
    <w:rsid w:val="001C1B49"/>
    <w:rsid w:val="001C1C42"/>
    <w:rsid w:val="001C259F"/>
    <w:rsid w:val="001C2846"/>
    <w:rsid w:val="001C2F02"/>
    <w:rsid w:val="001C3EF8"/>
    <w:rsid w:val="001C4D68"/>
    <w:rsid w:val="001C5266"/>
    <w:rsid w:val="001C5319"/>
    <w:rsid w:val="001C5B43"/>
    <w:rsid w:val="001C5B52"/>
    <w:rsid w:val="001C6743"/>
    <w:rsid w:val="001C6BFA"/>
    <w:rsid w:val="001C6DD3"/>
    <w:rsid w:val="001C799C"/>
    <w:rsid w:val="001D010E"/>
    <w:rsid w:val="001D0399"/>
    <w:rsid w:val="001D0483"/>
    <w:rsid w:val="001D0676"/>
    <w:rsid w:val="001D0DC0"/>
    <w:rsid w:val="001D147D"/>
    <w:rsid w:val="001D1BD3"/>
    <w:rsid w:val="001D2BD6"/>
    <w:rsid w:val="001D3AD6"/>
    <w:rsid w:val="001D42E1"/>
    <w:rsid w:val="001D4AAA"/>
    <w:rsid w:val="001D67A8"/>
    <w:rsid w:val="001D6AF6"/>
    <w:rsid w:val="001D6BAB"/>
    <w:rsid w:val="001D6FA7"/>
    <w:rsid w:val="001D752D"/>
    <w:rsid w:val="001E2112"/>
    <w:rsid w:val="001E24E9"/>
    <w:rsid w:val="001E27F9"/>
    <w:rsid w:val="001E322A"/>
    <w:rsid w:val="001E32E8"/>
    <w:rsid w:val="001E3F72"/>
    <w:rsid w:val="001E4257"/>
    <w:rsid w:val="001E4BE2"/>
    <w:rsid w:val="001E4CB8"/>
    <w:rsid w:val="001E4E13"/>
    <w:rsid w:val="001E5163"/>
    <w:rsid w:val="001E5474"/>
    <w:rsid w:val="001E54F5"/>
    <w:rsid w:val="001E57E1"/>
    <w:rsid w:val="001E5A0B"/>
    <w:rsid w:val="001E5A7B"/>
    <w:rsid w:val="001E5E04"/>
    <w:rsid w:val="001E6460"/>
    <w:rsid w:val="001E7515"/>
    <w:rsid w:val="001E78B3"/>
    <w:rsid w:val="001E7F65"/>
    <w:rsid w:val="001F1453"/>
    <w:rsid w:val="001F1BD7"/>
    <w:rsid w:val="001F1EA3"/>
    <w:rsid w:val="001F253F"/>
    <w:rsid w:val="001F26F6"/>
    <w:rsid w:val="001F321A"/>
    <w:rsid w:val="001F40EA"/>
    <w:rsid w:val="001F4F8C"/>
    <w:rsid w:val="001F585F"/>
    <w:rsid w:val="001F5AA1"/>
    <w:rsid w:val="001F5C4A"/>
    <w:rsid w:val="001F652D"/>
    <w:rsid w:val="001F6601"/>
    <w:rsid w:val="001F661F"/>
    <w:rsid w:val="001F6D79"/>
    <w:rsid w:val="001F7B42"/>
    <w:rsid w:val="002000B3"/>
    <w:rsid w:val="00200915"/>
    <w:rsid w:val="00200B8F"/>
    <w:rsid w:val="00200B9E"/>
    <w:rsid w:val="002021E0"/>
    <w:rsid w:val="00202A9B"/>
    <w:rsid w:val="00202B57"/>
    <w:rsid w:val="00203225"/>
    <w:rsid w:val="00204174"/>
    <w:rsid w:val="00205105"/>
    <w:rsid w:val="00205140"/>
    <w:rsid w:val="00205351"/>
    <w:rsid w:val="00205B02"/>
    <w:rsid w:val="00205C7C"/>
    <w:rsid w:val="002060F4"/>
    <w:rsid w:val="00206343"/>
    <w:rsid w:val="00206527"/>
    <w:rsid w:val="0020693D"/>
    <w:rsid w:val="00206D57"/>
    <w:rsid w:val="00207415"/>
    <w:rsid w:val="002075BF"/>
    <w:rsid w:val="00210015"/>
    <w:rsid w:val="00210730"/>
    <w:rsid w:val="002110E5"/>
    <w:rsid w:val="00211716"/>
    <w:rsid w:val="00212780"/>
    <w:rsid w:val="00212C4C"/>
    <w:rsid w:val="002137C9"/>
    <w:rsid w:val="00213DD0"/>
    <w:rsid w:val="002166CB"/>
    <w:rsid w:val="0021675C"/>
    <w:rsid w:val="00217685"/>
    <w:rsid w:val="002176D1"/>
    <w:rsid w:val="00217FA9"/>
    <w:rsid w:val="00217FF0"/>
    <w:rsid w:val="00221311"/>
    <w:rsid w:val="0022153B"/>
    <w:rsid w:val="0022177A"/>
    <w:rsid w:val="002217E4"/>
    <w:rsid w:val="00221ECA"/>
    <w:rsid w:val="0022260B"/>
    <w:rsid w:val="00222DD8"/>
    <w:rsid w:val="00223207"/>
    <w:rsid w:val="0022371D"/>
    <w:rsid w:val="00227582"/>
    <w:rsid w:val="00230006"/>
    <w:rsid w:val="0023013A"/>
    <w:rsid w:val="002305C6"/>
    <w:rsid w:val="002318B8"/>
    <w:rsid w:val="00231A33"/>
    <w:rsid w:val="002328EB"/>
    <w:rsid w:val="00232EF9"/>
    <w:rsid w:val="00234293"/>
    <w:rsid w:val="00235A1C"/>
    <w:rsid w:val="002372B8"/>
    <w:rsid w:val="00237597"/>
    <w:rsid w:val="00237BC0"/>
    <w:rsid w:val="00240584"/>
    <w:rsid w:val="00240D46"/>
    <w:rsid w:val="002411CE"/>
    <w:rsid w:val="002415C4"/>
    <w:rsid w:val="00241970"/>
    <w:rsid w:val="00241F88"/>
    <w:rsid w:val="00242488"/>
    <w:rsid w:val="00243AEA"/>
    <w:rsid w:val="00243F21"/>
    <w:rsid w:val="00244D2E"/>
    <w:rsid w:val="00244D8C"/>
    <w:rsid w:val="002451EA"/>
    <w:rsid w:val="002458BC"/>
    <w:rsid w:val="0024594C"/>
    <w:rsid w:val="00246E49"/>
    <w:rsid w:val="00246E74"/>
    <w:rsid w:val="00247213"/>
    <w:rsid w:val="0024798F"/>
    <w:rsid w:val="002479E4"/>
    <w:rsid w:val="00250AC9"/>
    <w:rsid w:val="00250DC1"/>
    <w:rsid w:val="00252355"/>
    <w:rsid w:val="0025245E"/>
    <w:rsid w:val="00252501"/>
    <w:rsid w:val="002529DE"/>
    <w:rsid w:val="00253250"/>
    <w:rsid w:val="00254F67"/>
    <w:rsid w:val="00255741"/>
    <w:rsid w:val="0025648F"/>
    <w:rsid w:val="00256589"/>
    <w:rsid w:val="002569D6"/>
    <w:rsid w:val="002578CA"/>
    <w:rsid w:val="0026028A"/>
    <w:rsid w:val="00260376"/>
    <w:rsid w:val="00260A47"/>
    <w:rsid w:val="00260B96"/>
    <w:rsid w:val="002611B1"/>
    <w:rsid w:val="00261CF9"/>
    <w:rsid w:val="00261E74"/>
    <w:rsid w:val="00261EF6"/>
    <w:rsid w:val="00261F94"/>
    <w:rsid w:val="00261FE7"/>
    <w:rsid w:val="00262716"/>
    <w:rsid w:val="0026311B"/>
    <w:rsid w:val="00263FFE"/>
    <w:rsid w:val="0026461F"/>
    <w:rsid w:val="002646A8"/>
    <w:rsid w:val="00264A2A"/>
    <w:rsid w:val="00264F36"/>
    <w:rsid w:val="00266BAE"/>
    <w:rsid w:val="00266C9E"/>
    <w:rsid w:val="00266ECF"/>
    <w:rsid w:val="002678F8"/>
    <w:rsid w:val="00270BFD"/>
    <w:rsid w:val="00271FA7"/>
    <w:rsid w:val="002727A9"/>
    <w:rsid w:val="00272976"/>
    <w:rsid w:val="002729A6"/>
    <w:rsid w:val="002736EB"/>
    <w:rsid w:val="00273D89"/>
    <w:rsid w:val="002745DE"/>
    <w:rsid w:val="00274655"/>
    <w:rsid w:val="0027479E"/>
    <w:rsid w:val="0027535D"/>
    <w:rsid w:val="002760DA"/>
    <w:rsid w:val="00276194"/>
    <w:rsid w:val="00276C9E"/>
    <w:rsid w:val="00276E8B"/>
    <w:rsid w:val="0027744A"/>
    <w:rsid w:val="00277D07"/>
    <w:rsid w:val="002801C3"/>
    <w:rsid w:val="00280529"/>
    <w:rsid w:val="002805B6"/>
    <w:rsid w:val="00280BCF"/>
    <w:rsid w:val="00281BB6"/>
    <w:rsid w:val="00281C05"/>
    <w:rsid w:val="00281F5C"/>
    <w:rsid w:val="0028209F"/>
    <w:rsid w:val="002821D3"/>
    <w:rsid w:val="002822ED"/>
    <w:rsid w:val="00282303"/>
    <w:rsid w:val="00282BB2"/>
    <w:rsid w:val="002832D3"/>
    <w:rsid w:val="00283385"/>
    <w:rsid w:val="0028484D"/>
    <w:rsid w:val="00285CA2"/>
    <w:rsid w:val="00287392"/>
    <w:rsid w:val="00287BB1"/>
    <w:rsid w:val="002907AB"/>
    <w:rsid w:val="00290A56"/>
    <w:rsid w:val="00291483"/>
    <w:rsid w:val="00291BD6"/>
    <w:rsid w:val="00291D88"/>
    <w:rsid w:val="00291EF6"/>
    <w:rsid w:val="002921B1"/>
    <w:rsid w:val="002926B8"/>
    <w:rsid w:val="00292717"/>
    <w:rsid w:val="002931DD"/>
    <w:rsid w:val="00293372"/>
    <w:rsid w:val="00294177"/>
    <w:rsid w:val="00294484"/>
    <w:rsid w:val="002946F6"/>
    <w:rsid w:val="00294AAF"/>
    <w:rsid w:val="002952E4"/>
    <w:rsid w:val="002953AB"/>
    <w:rsid w:val="002953DA"/>
    <w:rsid w:val="002955F8"/>
    <w:rsid w:val="00295DDB"/>
    <w:rsid w:val="00296A8D"/>
    <w:rsid w:val="00296DAF"/>
    <w:rsid w:val="00296FB5"/>
    <w:rsid w:val="0029712E"/>
    <w:rsid w:val="00297419"/>
    <w:rsid w:val="00297AD5"/>
    <w:rsid w:val="00297B4F"/>
    <w:rsid w:val="00297C64"/>
    <w:rsid w:val="002A017C"/>
    <w:rsid w:val="002A1127"/>
    <w:rsid w:val="002A19A5"/>
    <w:rsid w:val="002A2214"/>
    <w:rsid w:val="002A29CA"/>
    <w:rsid w:val="002A2CC7"/>
    <w:rsid w:val="002A38FE"/>
    <w:rsid w:val="002A3EAA"/>
    <w:rsid w:val="002A57A6"/>
    <w:rsid w:val="002A7E6B"/>
    <w:rsid w:val="002B0650"/>
    <w:rsid w:val="002B08B6"/>
    <w:rsid w:val="002B16D5"/>
    <w:rsid w:val="002B1CB7"/>
    <w:rsid w:val="002B1E14"/>
    <w:rsid w:val="002B2A5E"/>
    <w:rsid w:val="002B2BBD"/>
    <w:rsid w:val="002B49F2"/>
    <w:rsid w:val="002B4C92"/>
    <w:rsid w:val="002B5027"/>
    <w:rsid w:val="002B54A5"/>
    <w:rsid w:val="002B55A6"/>
    <w:rsid w:val="002B6A07"/>
    <w:rsid w:val="002B7E2B"/>
    <w:rsid w:val="002B7E88"/>
    <w:rsid w:val="002C15CC"/>
    <w:rsid w:val="002C197B"/>
    <w:rsid w:val="002C1BF8"/>
    <w:rsid w:val="002C40FE"/>
    <w:rsid w:val="002C5781"/>
    <w:rsid w:val="002C5D6B"/>
    <w:rsid w:val="002C5DA0"/>
    <w:rsid w:val="002C62B0"/>
    <w:rsid w:val="002C6645"/>
    <w:rsid w:val="002C6949"/>
    <w:rsid w:val="002C6A41"/>
    <w:rsid w:val="002C7167"/>
    <w:rsid w:val="002C724E"/>
    <w:rsid w:val="002C75F1"/>
    <w:rsid w:val="002D0888"/>
    <w:rsid w:val="002D12D8"/>
    <w:rsid w:val="002D1FE1"/>
    <w:rsid w:val="002D3754"/>
    <w:rsid w:val="002D3BCC"/>
    <w:rsid w:val="002D3C5C"/>
    <w:rsid w:val="002D3C8F"/>
    <w:rsid w:val="002D4014"/>
    <w:rsid w:val="002D49AF"/>
    <w:rsid w:val="002D4C12"/>
    <w:rsid w:val="002D560E"/>
    <w:rsid w:val="002D5A46"/>
    <w:rsid w:val="002D63AC"/>
    <w:rsid w:val="002D7205"/>
    <w:rsid w:val="002D726B"/>
    <w:rsid w:val="002D7366"/>
    <w:rsid w:val="002E0119"/>
    <w:rsid w:val="002E0250"/>
    <w:rsid w:val="002E0393"/>
    <w:rsid w:val="002E0E31"/>
    <w:rsid w:val="002E100D"/>
    <w:rsid w:val="002E1D30"/>
    <w:rsid w:val="002E1F84"/>
    <w:rsid w:val="002E2865"/>
    <w:rsid w:val="002E2E16"/>
    <w:rsid w:val="002E40FB"/>
    <w:rsid w:val="002E4AEC"/>
    <w:rsid w:val="002E5509"/>
    <w:rsid w:val="002E6942"/>
    <w:rsid w:val="002E72A8"/>
    <w:rsid w:val="002E76F4"/>
    <w:rsid w:val="002E7822"/>
    <w:rsid w:val="002F103F"/>
    <w:rsid w:val="002F11F5"/>
    <w:rsid w:val="002F1BAA"/>
    <w:rsid w:val="002F1D4D"/>
    <w:rsid w:val="002F202F"/>
    <w:rsid w:val="002F2958"/>
    <w:rsid w:val="002F29C6"/>
    <w:rsid w:val="002F304B"/>
    <w:rsid w:val="002F3154"/>
    <w:rsid w:val="002F3373"/>
    <w:rsid w:val="002F4389"/>
    <w:rsid w:val="002F4ACB"/>
    <w:rsid w:val="002F5874"/>
    <w:rsid w:val="002F5EDD"/>
    <w:rsid w:val="002F5FE8"/>
    <w:rsid w:val="002F74D8"/>
    <w:rsid w:val="002F759F"/>
    <w:rsid w:val="002F7A30"/>
    <w:rsid w:val="002F7EC7"/>
    <w:rsid w:val="003009EA"/>
    <w:rsid w:val="003012B5"/>
    <w:rsid w:val="00301827"/>
    <w:rsid w:val="00301FB2"/>
    <w:rsid w:val="0030228D"/>
    <w:rsid w:val="0030269C"/>
    <w:rsid w:val="003030BF"/>
    <w:rsid w:val="003034BD"/>
    <w:rsid w:val="00303642"/>
    <w:rsid w:val="00303BF0"/>
    <w:rsid w:val="00303F6F"/>
    <w:rsid w:val="003045A9"/>
    <w:rsid w:val="003054EA"/>
    <w:rsid w:val="00305ABB"/>
    <w:rsid w:val="00305DAE"/>
    <w:rsid w:val="0030608F"/>
    <w:rsid w:val="00306694"/>
    <w:rsid w:val="003072FE"/>
    <w:rsid w:val="00307906"/>
    <w:rsid w:val="003106E0"/>
    <w:rsid w:val="003115A5"/>
    <w:rsid w:val="0031168E"/>
    <w:rsid w:val="00311E07"/>
    <w:rsid w:val="003125BA"/>
    <w:rsid w:val="003125D3"/>
    <w:rsid w:val="00312A30"/>
    <w:rsid w:val="00313322"/>
    <w:rsid w:val="00313E7F"/>
    <w:rsid w:val="00314133"/>
    <w:rsid w:val="003148BB"/>
    <w:rsid w:val="00315A7A"/>
    <w:rsid w:val="00316335"/>
    <w:rsid w:val="00316EFA"/>
    <w:rsid w:val="003170AD"/>
    <w:rsid w:val="00320316"/>
    <w:rsid w:val="003207E2"/>
    <w:rsid w:val="00320F11"/>
    <w:rsid w:val="00321734"/>
    <w:rsid w:val="0032285E"/>
    <w:rsid w:val="00322C75"/>
    <w:rsid w:val="003236CE"/>
    <w:rsid w:val="00323810"/>
    <w:rsid w:val="00324204"/>
    <w:rsid w:val="00327750"/>
    <w:rsid w:val="00327B45"/>
    <w:rsid w:val="00327E8B"/>
    <w:rsid w:val="00331355"/>
    <w:rsid w:val="00331D6F"/>
    <w:rsid w:val="003320D0"/>
    <w:rsid w:val="00332F1F"/>
    <w:rsid w:val="003332B7"/>
    <w:rsid w:val="00333319"/>
    <w:rsid w:val="0033378C"/>
    <w:rsid w:val="00336061"/>
    <w:rsid w:val="00336878"/>
    <w:rsid w:val="00336CAB"/>
    <w:rsid w:val="00337045"/>
    <w:rsid w:val="003371DC"/>
    <w:rsid w:val="00337999"/>
    <w:rsid w:val="003409EE"/>
    <w:rsid w:val="00340B90"/>
    <w:rsid w:val="00340B9A"/>
    <w:rsid w:val="00340D58"/>
    <w:rsid w:val="00340DAD"/>
    <w:rsid w:val="00340E68"/>
    <w:rsid w:val="00340FBD"/>
    <w:rsid w:val="0034109C"/>
    <w:rsid w:val="00343071"/>
    <w:rsid w:val="0034347D"/>
    <w:rsid w:val="003438F4"/>
    <w:rsid w:val="00343DF5"/>
    <w:rsid w:val="00345DBF"/>
    <w:rsid w:val="003460E5"/>
    <w:rsid w:val="00347017"/>
    <w:rsid w:val="0034751B"/>
    <w:rsid w:val="00350228"/>
    <w:rsid w:val="00350AC1"/>
    <w:rsid w:val="003512F4"/>
    <w:rsid w:val="0035163A"/>
    <w:rsid w:val="0035185D"/>
    <w:rsid w:val="003525E4"/>
    <w:rsid w:val="0035288F"/>
    <w:rsid w:val="00352D21"/>
    <w:rsid w:val="00353099"/>
    <w:rsid w:val="00353597"/>
    <w:rsid w:val="003538D2"/>
    <w:rsid w:val="00353A09"/>
    <w:rsid w:val="00353E03"/>
    <w:rsid w:val="003540ED"/>
    <w:rsid w:val="0035504E"/>
    <w:rsid w:val="00355725"/>
    <w:rsid w:val="00355824"/>
    <w:rsid w:val="003559A0"/>
    <w:rsid w:val="00355DFA"/>
    <w:rsid w:val="00356563"/>
    <w:rsid w:val="00356898"/>
    <w:rsid w:val="00357BD3"/>
    <w:rsid w:val="003600CE"/>
    <w:rsid w:val="00360ADF"/>
    <w:rsid w:val="00360CC6"/>
    <w:rsid w:val="003611C4"/>
    <w:rsid w:val="003613F7"/>
    <w:rsid w:val="0036244E"/>
    <w:rsid w:val="00362FA5"/>
    <w:rsid w:val="003633E2"/>
    <w:rsid w:val="003635D1"/>
    <w:rsid w:val="00364C9D"/>
    <w:rsid w:val="00364E2C"/>
    <w:rsid w:val="00365631"/>
    <w:rsid w:val="00365B2F"/>
    <w:rsid w:val="003661D3"/>
    <w:rsid w:val="00366FEA"/>
    <w:rsid w:val="003676C3"/>
    <w:rsid w:val="00367D80"/>
    <w:rsid w:val="00367E8F"/>
    <w:rsid w:val="00370A6E"/>
    <w:rsid w:val="00370A83"/>
    <w:rsid w:val="00370E12"/>
    <w:rsid w:val="00371794"/>
    <w:rsid w:val="00372087"/>
    <w:rsid w:val="00372255"/>
    <w:rsid w:val="00372D8E"/>
    <w:rsid w:val="003742B1"/>
    <w:rsid w:val="00374336"/>
    <w:rsid w:val="00374629"/>
    <w:rsid w:val="0037483A"/>
    <w:rsid w:val="00374F53"/>
    <w:rsid w:val="00375680"/>
    <w:rsid w:val="003767DD"/>
    <w:rsid w:val="00377235"/>
    <w:rsid w:val="00377E3D"/>
    <w:rsid w:val="00377E53"/>
    <w:rsid w:val="00377FA8"/>
    <w:rsid w:val="00380FC6"/>
    <w:rsid w:val="003812BA"/>
    <w:rsid w:val="003823C7"/>
    <w:rsid w:val="00382FF9"/>
    <w:rsid w:val="003835FF"/>
    <w:rsid w:val="00384844"/>
    <w:rsid w:val="003857FB"/>
    <w:rsid w:val="00385F35"/>
    <w:rsid w:val="0038600C"/>
    <w:rsid w:val="0038624A"/>
    <w:rsid w:val="0038695C"/>
    <w:rsid w:val="0038775A"/>
    <w:rsid w:val="00387765"/>
    <w:rsid w:val="00387982"/>
    <w:rsid w:val="00390432"/>
    <w:rsid w:val="003905F6"/>
    <w:rsid w:val="00390815"/>
    <w:rsid w:val="00391D12"/>
    <w:rsid w:val="00392038"/>
    <w:rsid w:val="00392835"/>
    <w:rsid w:val="00392855"/>
    <w:rsid w:val="00392C7E"/>
    <w:rsid w:val="00392DF0"/>
    <w:rsid w:val="00392FE4"/>
    <w:rsid w:val="0039393A"/>
    <w:rsid w:val="00393B8D"/>
    <w:rsid w:val="003941D1"/>
    <w:rsid w:val="0039463D"/>
    <w:rsid w:val="003955AD"/>
    <w:rsid w:val="00395AA1"/>
    <w:rsid w:val="00396417"/>
    <w:rsid w:val="003964ED"/>
    <w:rsid w:val="00396CC9"/>
    <w:rsid w:val="00396E0D"/>
    <w:rsid w:val="003A0485"/>
    <w:rsid w:val="003A0587"/>
    <w:rsid w:val="003A070A"/>
    <w:rsid w:val="003A0DDF"/>
    <w:rsid w:val="003A0FA5"/>
    <w:rsid w:val="003A11A2"/>
    <w:rsid w:val="003A16CD"/>
    <w:rsid w:val="003A23BB"/>
    <w:rsid w:val="003A25D7"/>
    <w:rsid w:val="003A353F"/>
    <w:rsid w:val="003A41D8"/>
    <w:rsid w:val="003A4A8F"/>
    <w:rsid w:val="003A58FB"/>
    <w:rsid w:val="003A66B2"/>
    <w:rsid w:val="003A72F3"/>
    <w:rsid w:val="003A7443"/>
    <w:rsid w:val="003A76BD"/>
    <w:rsid w:val="003A7F57"/>
    <w:rsid w:val="003A7FD5"/>
    <w:rsid w:val="003B1350"/>
    <w:rsid w:val="003B14F7"/>
    <w:rsid w:val="003B16E8"/>
    <w:rsid w:val="003B1AD2"/>
    <w:rsid w:val="003B20D5"/>
    <w:rsid w:val="003B21E8"/>
    <w:rsid w:val="003B2896"/>
    <w:rsid w:val="003B4982"/>
    <w:rsid w:val="003B5328"/>
    <w:rsid w:val="003B5899"/>
    <w:rsid w:val="003B5D28"/>
    <w:rsid w:val="003B5E8A"/>
    <w:rsid w:val="003B6323"/>
    <w:rsid w:val="003B63E9"/>
    <w:rsid w:val="003B68D6"/>
    <w:rsid w:val="003B77CF"/>
    <w:rsid w:val="003C0D6F"/>
    <w:rsid w:val="003C119D"/>
    <w:rsid w:val="003C2267"/>
    <w:rsid w:val="003C29A0"/>
    <w:rsid w:val="003C41EB"/>
    <w:rsid w:val="003C45CC"/>
    <w:rsid w:val="003C48AD"/>
    <w:rsid w:val="003C4C4D"/>
    <w:rsid w:val="003C5D05"/>
    <w:rsid w:val="003C713B"/>
    <w:rsid w:val="003C723E"/>
    <w:rsid w:val="003C77FC"/>
    <w:rsid w:val="003D06A1"/>
    <w:rsid w:val="003D0BA3"/>
    <w:rsid w:val="003D1B7D"/>
    <w:rsid w:val="003D2429"/>
    <w:rsid w:val="003D28CE"/>
    <w:rsid w:val="003D3393"/>
    <w:rsid w:val="003D35EA"/>
    <w:rsid w:val="003D3E1D"/>
    <w:rsid w:val="003D4597"/>
    <w:rsid w:val="003D4C63"/>
    <w:rsid w:val="003D4DCA"/>
    <w:rsid w:val="003D4EAF"/>
    <w:rsid w:val="003D52B2"/>
    <w:rsid w:val="003D7699"/>
    <w:rsid w:val="003E1304"/>
    <w:rsid w:val="003E1766"/>
    <w:rsid w:val="003E1CB5"/>
    <w:rsid w:val="003E1D82"/>
    <w:rsid w:val="003E224A"/>
    <w:rsid w:val="003E3419"/>
    <w:rsid w:val="003E3525"/>
    <w:rsid w:val="003E378D"/>
    <w:rsid w:val="003E3877"/>
    <w:rsid w:val="003E40E6"/>
    <w:rsid w:val="003E50A6"/>
    <w:rsid w:val="003E533A"/>
    <w:rsid w:val="003E63A1"/>
    <w:rsid w:val="003E6529"/>
    <w:rsid w:val="003E66D1"/>
    <w:rsid w:val="003E693D"/>
    <w:rsid w:val="003E6A4C"/>
    <w:rsid w:val="003E7E25"/>
    <w:rsid w:val="003F00BF"/>
    <w:rsid w:val="003F02F5"/>
    <w:rsid w:val="003F0388"/>
    <w:rsid w:val="003F0D02"/>
    <w:rsid w:val="003F2050"/>
    <w:rsid w:val="003F3774"/>
    <w:rsid w:val="003F3CA8"/>
    <w:rsid w:val="003F426E"/>
    <w:rsid w:val="003F439A"/>
    <w:rsid w:val="003F4C4C"/>
    <w:rsid w:val="003F4D3F"/>
    <w:rsid w:val="003F5791"/>
    <w:rsid w:val="003F648E"/>
    <w:rsid w:val="003F6FDA"/>
    <w:rsid w:val="003F706C"/>
    <w:rsid w:val="004017AB"/>
    <w:rsid w:val="00401F37"/>
    <w:rsid w:val="00402FFE"/>
    <w:rsid w:val="0040309D"/>
    <w:rsid w:val="004037E1"/>
    <w:rsid w:val="0040386E"/>
    <w:rsid w:val="00403A65"/>
    <w:rsid w:val="00404A1D"/>
    <w:rsid w:val="004053A4"/>
    <w:rsid w:val="00405A35"/>
    <w:rsid w:val="00405E9B"/>
    <w:rsid w:val="004065D9"/>
    <w:rsid w:val="00406BC7"/>
    <w:rsid w:val="00406C93"/>
    <w:rsid w:val="00407657"/>
    <w:rsid w:val="00407B44"/>
    <w:rsid w:val="0041082A"/>
    <w:rsid w:val="00410CDF"/>
    <w:rsid w:val="004110EC"/>
    <w:rsid w:val="004118C1"/>
    <w:rsid w:val="00412EBE"/>
    <w:rsid w:val="00413682"/>
    <w:rsid w:val="004136E9"/>
    <w:rsid w:val="00414131"/>
    <w:rsid w:val="00414864"/>
    <w:rsid w:val="00414ED0"/>
    <w:rsid w:val="0041519C"/>
    <w:rsid w:val="004152B5"/>
    <w:rsid w:val="004159B7"/>
    <w:rsid w:val="00415C01"/>
    <w:rsid w:val="004165D2"/>
    <w:rsid w:val="00416ADD"/>
    <w:rsid w:val="00420656"/>
    <w:rsid w:val="00420849"/>
    <w:rsid w:val="004214A3"/>
    <w:rsid w:val="0042173B"/>
    <w:rsid w:val="0042259A"/>
    <w:rsid w:val="00423005"/>
    <w:rsid w:val="00423471"/>
    <w:rsid w:val="00424380"/>
    <w:rsid w:val="00424806"/>
    <w:rsid w:val="00424BD3"/>
    <w:rsid w:val="004251D3"/>
    <w:rsid w:val="004274DB"/>
    <w:rsid w:val="00427A87"/>
    <w:rsid w:val="00427F1C"/>
    <w:rsid w:val="004302FF"/>
    <w:rsid w:val="00431F10"/>
    <w:rsid w:val="004320C3"/>
    <w:rsid w:val="0043259E"/>
    <w:rsid w:val="004334E4"/>
    <w:rsid w:val="0043379A"/>
    <w:rsid w:val="00433AD0"/>
    <w:rsid w:val="004340AF"/>
    <w:rsid w:val="00434B5C"/>
    <w:rsid w:val="0043583D"/>
    <w:rsid w:val="0043599E"/>
    <w:rsid w:val="00435B69"/>
    <w:rsid w:val="00435FDF"/>
    <w:rsid w:val="00436060"/>
    <w:rsid w:val="004367C6"/>
    <w:rsid w:val="00436A5D"/>
    <w:rsid w:val="0043701F"/>
    <w:rsid w:val="00437278"/>
    <w:rsid w:val="004374FD"/>
    <w:rsid w:val="004376B2"/>
    <w:rsid w:val="004410B7"/>
    <w:rsid w:val="004410E4"/>
    <w:rsid w:val="0044163B"/>
    <w:rsid w:val="00441835"/>
    <w:rsid w:val="00441F87"/>
    <w:rsid w:val="004424C6"/>
    <w:rsid w:val="0044330D"/>
    <w:rsid w:val="00443948"/>
    <w:rsid w:val="00445073"/>
    <w:rsid w:val="004452CB"/>
    <w:rsid w:val="004452F8"/>
    <w:rsid w:val="004462BD"/>
    <w:rsid w:val="004467F1"/>
    <w:rsid w:val="004470D8"/>
    <w:rsid w:val="00447326"/>
    <w:rsid w:val="0044785B"/>
    <w:rsid w:val="00450683"/>
    <w:rsid w:val="004506F6"/>
    <w:rsid w:val="00450EC6"/>
    <w:rsid w:val="00452DB8"/>
    <w:rsid w:val="00453EE5"/>
    <w:rsid w:val="00453F0D"/>
    <w:rsid w:val="004541CB"/>
    <w:rsid w:val="0045439A"/>
    <w:rsid w:val="00454B45"/>
    <w:rsid w:val="00455D60"/>
    <w:rsid w:val="00457391"/>
    <w:rsid w:val="00460193"/>
    <w:rsid w:val="0046169F"/>
    <w:rsid w:val="00461701"/>
    <w:rsid w:val="004620EA"/>
    <w:rsid w:val="00462F54"/>
    <w:rsid w:val="0046370A"/>
    <w:rsid w:val="00463B88"/>
    <w:rsid w:val="004648F0"/>
    <w:rsid w:val="00464E34"/>
    <w:rsid w:val="00465B55"/>
    <w:rsid w:val="00465C24"/>
    <w:rsid w:val="004662E6"/>
    <w:rsid w:val="00466BED"/>
    <w:rsid w:val="004673B0"/>
    <w:rsid w:val="00470872"/>
    <w:rsid w:val="00470CEA"/>
    <w:rsid w:val="00470FB9"/>
    <w:rsid w:val="00471427"/>
    <w:rsid w:val="00471AAC"/>
    <w:rsid w:val="004724AF"/>
    <w:rsid w:val="004728F6"/>
    <w:rsid w:val="00472D6B"/>
    <w:rsid w:val="00474512"/>
    <w:rsid w:val="00474633"/>
    <w:rsid w:val="00474A32"/>
    <w:rsid w:val="00474C58"/>
    <w:rsid w:val="00475211"/>
    <w:rsid w:val="00475488"/>
    <w:rsid w:val="00475A84"/>
    <w:rsid w:val="00475E17"/>
    <w:rsid w:val="00475E33"/>
    <w:rsid w:val="00475F8D"/>
    <w:rsid w:val="004768D7"/>
    <w:rsid w:val="00476A1E"/>
    <w:rsid w:val="00476A78"/>
    <w:rsid w:val="00477238"/>
    <w:rsid w:val="00477698"/>
    <w:rsid w:val="004779B5"/>
    <w:rsid w:val="004803F1"/>
    <w:rsid w:val="00480863"/>
    <w:rsid w:val="004814BD"/>
    <w:rsid w:val="00481FCF"/>
    <w:rsid w:val="004828F2"/>
    <w:rsid w:val="00482A46"/>
    <w:rsid w:val="0048306E"/>
    <w:rsid w:val="0048389C"/>
    <w:rsid w:val="00483E10"/>
    <w:rsid w:val="0048410D"/>
    <w:rsid w:val="0048468D"/>
    <w:rsid w:val="0048511F"/>
    <w:rsid w:val="00485A0F"/>
    <w:rsid w:val="00485EE0"/>
    <w:rsid w:val="004872AE"/>
    <w:rsid w:val="00487594"/>
    <w:rsid w:val="00487CEC"/>
    <w:rsid w:val="0049047D"/>
    <w:rsid w:val="00491033"/>
    <w:rsid w:val="004911F5"/>
    <w:rsid w:val="00491250"/>
    <w:rsid w:val="00491D4D"/>
    <w:rsid w:val="00492B87"/>
    <w:rsid w:val="004930E9"/>
    <w:rsid w:val="00493760"/>
    <w:rsid w:val="00494520"/>
    <w:rsid w:val="0049455E"/>
    <w:rsid w:val="0049485A"/>
    <w:rsid w:val="00494F2C"/>
    <w:rsid w:val="00494FD0"/>
    <w:rsid w:val="00495FD5"/>
    <w:rsid w:val="004A0222"/>
    <w:rsid w:val="004A1D1B"/>
    <w:rsid w:val="004A20D5"/>
    <w:rsid w:val="004A21DB"/>
    <w:rsid w:val="004A2A22"/>
    <w:rsid w:val="004A3540"/>
    <w:rsid w:val="004A3604"/>
    <w:rsid w:val="004A482E"/>
    <w:rsid w:val="004A5154"/>
    <w:rsid w:val="004A5349"/>
    <w:rsid w:val="004A5596"/>
    <w:rsid w:val="004A6325"/>
    <w:rsid w:val="004A70FE"/>
    <w:rsid w:val="004A7267"/>
    <w:rsid w:val="004A7446"/>
    <w:rsid w:val="004A792A"/>
    <w:rsid w:val="004B13EC"/>
    <w:rsid w:val="004B3580"/>
    <w:rsid w:val="004B35E9"/>
    <w:rsid w:val="004B4DD9"/>
    <w:rsid w:val="004B4E40"/>
    <w:rsid w:val="004B551A"/>
    <w:rsid w:val="004B5742"/>
    <w:rsid w:val="004B5A8D"/>
    <w:rsid w:val="004B5BC5"/>
    <w:rsid w:val="004B5C7E"/>
    <w:rsid w:val="004B6D36"/>
    <w:rsid w:val="004B6E2D"/>
    <w:rsid w:val="004B7504"/>
    <w:rsid w:val="004B7C15"/>
    <w:rsid w:val="004B7F42"/>
    <w:rsid w:val="004C0F08"/>
    <w:rsid w:val="004C1713"/>
    <w:rsid w:val="004C1788"/>
    <w:rsid w:val="004C1AB9"/>
    <w:rsid w:val="004C1EC4"/>
    <w:rsid w:val="004C32CC"/>
    <w:rsid w:val="004C3F4E"/>
    <w:rsid w:val="004C4DAF"/>
    <w:rsid w:val="004C5E86"/>
    <w:rsid w:val="004C63F4"/>
    <w:rsid w:val="004C7229"/>
    <w:rsid w:val="004D02F6"/>
    <w:rsid w:val="004D206F"/>
    <w:rsid w:val="004D2802"/>
    <w:rsid w:val="004D2FB7"/>
    <w:rsid w:val="004D3210"/>
    <w:rsid w:val="004D3A26"/>
    <w:rsid w:val="004D3DA9"/>
    <w:rsid w:val="004D41E1"/>
    <w:rsid w:val="004D44B4"/>
    <w:rsid w:val="004D53E3"/>
    <w:rsid w:val="004D673D"/>
    <w:rsid w:val="004D6EB3"/>
    <w:rsid w:val="004D7613"/>
    <w:rsid w:val="004D761B"/>
    <w:rsid w:val="004D772C"/>
    <w:rsid w:val="004D7DFD"/>
    <w:rsid w:val="004E0466"/>
    <w:rsid w:val="004E0CAC"/>
    <w:rsid w:val="004E1F04"/>
    <w:rsid w:val="004E38EA"/>
    <w:rsid w:val="004E3AA1"/>
    <w:rsid w:val="004E3BAB"/>
    <w:rsid w:val="004E3D17"/>
    <w:rsid w:val="004E44A6"/>
    <w:rsid w:val="004E4EFC"/>
    <w:rsid w:val="004E6326"/>
    <w:rsid w:val="004E6A56"/>
    <w:rsid w:val="004E6B58"/>
    <w:rsid w:val="004E6D12"/>
    <w:rsid w:val="004E71C8"/>
    <w:rsid w:val="004E73E9"/>
    <w:rsid w:val="004E7AE7"/>
    <w:rsid w:val="004F035E"/>
    <w:rsid w:val="004F05E7"/>
    <w:rsid w:val="004F0A98"/>
    <w:rsid w:val="004F0B6C"/>
    <w:rsid w:val="004F12B2"/>
    <w:rsid w:val="004F12F9"/>
    <w:rsid w:val="004F1755"/>
    <w:rsid w:val="004F1FB3"/>
    <w:rsid w:val="004F207C"/>
    <w:rsid w:val="004F2240"/>
    <w:rsid w:val="004F36F2"/>
    <w:rsid w:val="004F3751"/>
    <w:rsid w:val="004F3770"/>
    <w:rsid w:val="004F3F13"/>
    <w:rsid w:val="004F4B92"/>
    <w:rsid w:val="004F5542"/>
    <w:rsid w:val="004F60A5"/>
    <w:rsid w:val="004F7043"/>
    <w:rsid w:val="004F709A"/>
    <w:rsid w:val="004F729F"/>
    <w:rsid w:val="00500CDC"/>
    <w:rsid w:val="005013D0"/>
    <w:rsid w:val="00501A11"/>
    <w:rsid w:val="00501CBB"/>
    <w:rsid w:val="00502232"/>
    <w:rsid w:val="00502234"/>
    <w:rsid w:val="00502B34"/>
    <w:rsid w:val="00502C5E"/>
    <w:rsid w:val="00503100"/>
    <w:rsid w:val="005035C4"/>
    <w:rsid w:val="005036FB"/>
    <w:rsid w:val="00503946"/>
    <w:rsid w:val="00503BBC"/>
    <w:rsid w:val="00504683"/>
    <w:rsid w:val="00505A64"/>
    <w:rsid w:val="00506074"/>
    <w:rsid w:val="005064A6"/>
    <w:rsid w:val="00506A05"/>
    <w:rsid w:val="00507740"/>
    <w:rsid w:val="00510782"/>
    <w:rsid w:val="00511E38"/>
    <w:rsid w:val="0051205F"/>
    <w:rsid w:val="00512696"/>
    <w:rsid w:val="0051334C"/>
    <w:rsid w:val="00513868"/>
    <w:rsid w:val="00513B51"/>
    <w:rsid w:val="005141D5"/>
    <w:rsid w:val="00514432"/>
    <w:rsid w:val="00514956"/>
    <w:rsid w:val="005149E5"/>
    <w:rsid w:val="005150E1"/>
    <w:rsid w:val="0051514D"/>
    <w:rsid w:val="005151E7"/>
    <w:rsid w:val="0051539E"/>
    <w:rsid w:val="00515DB8"/>
    <w:rsid w:val="00515DC2"/>
    <w:rsid w:val="0051734E"/>
    <w:rsid w:val="0052051D"/>
    <w:rsid w:val="005209E9"/>
    <w:rsid w:val="00521992"/>
    <w:rsid w:val="00521A92"/>
    <w:rsid w:val="00521C66"/>
    <w:rsid w:val="00522F1B"/>
    <w:rsid w:val="00523F95"/>
    <w:rsid w:val="00524491"/>
    <w:rsid w:val="00524D54"/>
    <w:rsid w:val="005270B3"/>
    <w:rsid w:val="00527542"/>
    <w:rsid w:val="00527F54"/>
    <w:rsid w:val="0053064E"/>
    <w:rsid w:val="005312D5"/>
    <w:rsid w:val="005315F8"/>
    <w:rsid w:val="00531D87"/>
    <w:rsid w:val="005320A9"/>
    <w:rsid w:val="00532B0D"/>
    <w:rsid w:val="00533CED"/>
    <w:rsid w:val="00535030"/>
    <w:rsid w:val="00535046"/>
    <w:rsid w:val="005350DD"/>
    <w:rsid w:val="005352A1"/>
    <w:rsid w:val="00536211"/>
    <w:rsid w:val="0053639A"/>
    <w:rsid w:val="00536983"/>
    <w:rsid w:val="00537911"/>
    <w:rsid w:val="00537BA4"/>
    <w:rsid w:val="00541685"/>
    <w:rsid w:val="00542382"/>
    <w:rsid w:val="005426F5"/>
    <w:rsid w:val="00542A04"/>
    <w:rsid w:val="00543F65"/>
    <w:rsid w:val="00543F71"/>
    <w:rsid w:val="00544821"/>
    <w:rsid w:val="00545D09"/>
    <w:rsid w:val="00545E89"/>
    <w:rsid w:val="00546F73"/>
    <w:rsid w:val="00546F9D"/>
    <w:rsid w:val="00550554"/>
    <w:rsid w:val="0055073C"/>
    <w:rsid w:val="00550E9F"/>
    <w:rsid w:val="0055156F"/>
    <w:rsid w:val="0055186A"/>
    <w:rsid w:val="00551EA4"/>
    <w:rsid w:val="00551F00"/>
    <w:rsid w:val="00552712"/>
    <w:rsid w:val="00552D6D"/>
    <w:rsid w:val="005532E8"/>
    <w:rsid w:val="00553688"/>
    <w:rsid w:val="0055417B"/>
    <w:rsid w:val="00554414"/>
    <w:rsid w:val="0055445E"/>
    <w:rsid w:val="00554FDC"/>
    <w:rsid w:val="0055535B"/>
    <w:rsid w:val="00555907"/>
    <w:rsid w:val="00555E95"/>
    <w:rsid w:val="00560EA5"/>
    <w:rsid w:val="00561CE5"/>
    <w:rsid w:val="0056241E"/>
    <w:rsid w:val="00562CF3"/>
    <w:rsid w:val="00563A22"/>
    <w:rsid w:val="00564370"/>
    <w:rsid w:val="005652DC"/>
    <w:rsid w:val="00565E6E"/>
    <w:rsid w:val="00566430"/>
    <w:rsid w:val="00566971"/>
    <w:rsid w:val="00566D69"/>
    <w:rsid w:val="00566E9F"/>
    <w:rsid w:val="005675E2"/>
    <w:rsid w:val="0056798F"/>
    <w:rsid w:val="005679C8"/>
    <w:rsid w:val="00567DAF"/>
    <w:rsid w:val="005702C1"/>
    <w:rsid w:val="00570339"/>
    <w:rsid w:val="0057035C"/>
    <w:rsid w:val="005714EC"/>
    <w:rsid w:val="005717DF"/>
    <w:rsid w:val="0057214B"/>
    <w:rsid w:val="0057370B"/>
    <w:rsid w:val="00574DC6"/>
    <w:rsid w:val="00574F68"/>
    <w:rsid w:val="00574FBD"/>
    <w:rsid w:val="00575165"/>
    <w:rsid w:val="005751C0"/>
    <w:rsid w:val="00575BF0"/>
    <w:rsid w:val="00575DA0"/>
    <w:rsid w:val="00576AD1"/>
    <w:rsid w:val="00576B11"/>
    <w:rsid w:val="00577389"/>
    <w:rsid w:val="005778C7"/>
    <w:rsid w:val="00577A97"/>
    <w:rsid w:val="00577F1B"/>
    <w:rsid w:val="00581464"/>
    <w:rsid w:val="00582127"/>
    <w:rsid w:val="0058225D"/>
    <w:rsid w:val="00582E15"/>
    <w:rsid w:val="005832A8"/>
    <w:rsid w:val="00583BCF"/>
    <w:rsid w:val="00583E16"/>
    <w:rsid w:val="00584021"/>
    <w:rsid w:val="00584DC9"/>
    <w:rsid w:val="00585587"/>
    <w:rsid w:val="005861BE"/>
    <w:rsid w:val="00586A3C"/>
    <w:rsid w:val="00586BD3"/>
    <w:rsid w:val="00586CA2"/>
    <w:rsid w:val="00586D13"/>
    <w:rsid w:val="00587F7E"/>
    <w:rsid w:val="00587FA4"/>
    <w:rsid w:val="0059077D"/>
    <w:rsid w:val="0059211C"/>
    <w:rsid w:val="0059282F"/>
    <w:rsid w:val="00592919"/>
    <w:rsid w:val="00592ACC"/>
    <w:rsid w:val="00593DFE"/>
    <w:rsid w:val="00594448"/>
    <w:rsid w:val="00594D9D"/>
    <w:rsid w:val="00596504"/>
    <w:rsid w:val="0059654A"/>
    <w:rsid w:val="00596580"/>
    <w:rsid w:val="00596F73"/>
    <w:rsid w:val="005A0CB9"/>
    <w:rsid w:val="005A1DF8"/>
    <w:rsid w:val="005A2AD0"/>
    <w:rsid w:val="005A2C22"/>
    <w:rsid w:val="005A36AC"/>
    <w:rsid w:val="005A39F5"/>
    <w:rsid w:val="005A3DE5"/>
    <w:rsid w:val="005A3FE3"/>
    <w:rsid w:val="005A4210"/>
    <w:rsid w:val="005A5041"/>
    <w:rsid w:val="005A6AC7"/>
    <w:rsid w:val="005A7066"/>
    <w:rsid w:val="005B0C16"/>
    <w:rsid w:val="005B12C9"/>
    <w:rsid w:val="005B1B5E"/>
    <w:rsid w:val="005B1E4A"/>
    <w:rsid w:val="005B20BB"/>
    <w:rsid w:val="005B2137"/>
    <w:rsid w:val="005B25B3"/>
    <w:rsid w:val="005B324B"/>
    <w:rsid w:val="005B347C"/>
    <w:rsid w:val="005B497C"/>
    <w:rsid w:val="005B4A27"/>
    <w:rsid w:val="005B5C50"/>
    <w:rsid w:val="005C02A0"/>
    <w:rsid w:val="005C0468"/>
    <w:rsid w:val="005C0946"/>
    <w:rsid w:val="005C0B70"/>
    <w:rsid w:val="005C0DE9"/>
    <w:rsid w:val="005C0FD2"/>
    <w:rsid w:val="005C10BF"/>
    <w:rsid w:val="005C11DA"/>
    <w:rsid w:val="005C156C"/>
    <w:rsid w:val="005C20D2"/>
    <w:rsid w:val="005C2386"/>
    <w:rsid w:val="005C2533"/>
    <w:rsid w:val="005C260A"/>
    <w:rsid w:val="005C2A8D"/>
    <w:rsid w:val="005C309A"/>
    <w:rsid w:val="005C31CB"/>
    <w:rsid w:val="005C31F2"/>
    <w:rsid w:val="005C34FF"/>
    <w:rsid w:val="005C384D"/>
    <w:rsid w:val="005C3EA4"/>
    <w:rsid w:val="005C4357"/>
    <w:rsid w:val="005C4363"/>
    <w:rsid w:val="005C4561"/>
    <w:rsid w:val="005C46EE"/>
    <w:rsid w:val="005C4C06"/>
    <w:rsid w:val="005C4CF9"/>
    <w:rsid w:val="005C577B"/>
    <w:rsid w:val="005C595F"/>
    <w:rsid w:val="005C5DD2"/>
    <w:rsid w:val="005C66E3"/>
    <w:rsid w:val="005C67EE"/>
    <w:rsid w:val="005C6B43"/>
    <w:rsid w:val="005C6E0F"/>
    <w:rsid w:val="005C74A5"/>
    <w:rsid w:val="005C760A"/>
    <w:rsid w:val="005C782F"/>
    <w:rsid w:val="005C7830"/>
    <w:rsid w:val="005C7AD3"/>
    <w:rsid w:val="005C7EF3"/>
    <w:rsid w:val="005C7FF8"/>
    <w:rsid w:val="005D03B1"/>
    <w:rsid w:val="005D0A31"/>
    <w:rsid w:val="005D0F40"/>
    <w:rsid w:val="005D14C2"/>
    <w:rsid w:val="005D1517"/>
    <w:rsid w:val="005D17D7"/>
    <w:rsid w:val="005D3CDE"/>
    <w:rsid w:val="005D3E66"/>
    <w:rsid w:val="005D44B5"/>
    <w:rsid w:val="005D4ECB"/>
    <w:rsid w:val="005D53EB"/>
    <w:rsid w:val="005D5730"/>
    <w:rsid w:val="005D5B16"/>
    <w:rsid w:val="005D5C72"/>
    <w:rsid w:val="005D62E4"/>
    <w:rsid w:val="005D6353"/>
    <w:rsid w:val="005D6CA3"/>
    <w:rsid w:val="005D763B"/>
    <w:rsid w:val="005D77DB"/>
    <w:rsid w:val="005D7900"/>
    <w:rsid w:val="005E08EC"/>
    <w:rsid w:val="005E0A29"/>
    <w:rsid w:val="005E0E54"/>
    <w:rsid w:val="005E0F25"/>
    <w:rsid w:val="005E13CB"/>
    <w:rsid w:val="005E14E8"/>
    <w:rsid w:val="005E159C"/>
    <w:rsid w:val="005E301A"/>
    <w:rsid w:val="005E4132"/>
    <w:rsid w:val="005E449C"/>
    <w:rsid w:val="005E45B1"/>
    <w:rsid w:val="005E46B2"/>
    <w:rsid w:val="005E46B4"/>
    <w:rsid w:val="005E47D1"/>
    <w:rsid w:val="005E5907"/>
    <w:rsid w:val="005E5998"/>
    <w:rsid w:val="005E65C7"/>
    <w:rsid w:val="005E68FF"/>
    <w:rsid w:val="005E6BE7"/>
    <w:rsid w:val="005E702C"/>
    <w:rsid w:val="005E7BE5"/>
    <w:rsid w:val="005E7BEA"/>
    <w:rsid w:val="005F015A"/>
    <w:rsid w:val="005F122B"/>
    <w:rsid w:val="005F2019"/>
    <w:rsid w:val="005F2474"/>
    <w:rsid w:val="005F2D6D"/>
    <w:rsid w:val="005F316A"/>
    <w:rsid w:val="005F40C8"/>
    <w:rsid w:val="005F5727"/>
    <w:rsid w:val="005F5D1B"/>
    <w:rsid w:val="005F5E9E"/>
    <w:rsid w:val="005F6828"/>
    <w:rsid w:val="00600159"/>
    <w:rsid w:val="006003C1"/>
    <w:rsid w:val="00600B54"/>
    <w:rsid w:val="00600FA4"/>
    <w:rsid w:val="00600FBA"/>
    <w:rsid w:val="00601928"/>
    <w:rsid w:val="00602302"/>
    <w:rsid w:val="00603D20"/>
    <w:rsid w:val="006043C5"/>
    <w:rsid w:val="00604485"/>
    <w:rsid w:val="00604942"/>
    <w:rsid w:val="00605405"/>
    <w:rsid w:val="006056FB"/>
    <w:rsid w:val="00607305"/>
    <w:rsid w:val="00607B2D"/>
    <w:rsid w:val="00607C19"/>
    <w:rsid w:val="0061028E"/>
    <w:rsid w:val="00610617"/>
    <w:rsid w:val="0061121A"/>
    <w:rsid w:val="00611E62"/>
    <w:rsid w:val="00612987"/>
    <w:rsid w:val="00612BA1"/>
    <w:rsid w:val="0061330F"/>
    <w:rsid w:val="00613FD2"/>
    <w:rsid w:val="00616278"/>
    <w:rsid w:val="00616692"/>
    <w:rsid w:val="00616714"/>
    <w:rsid w:val="00616A70"/>
    <w:rsid w:val="0061704E"/>
    <w:rsid w:val="00617CAD"/>
    <w:rsid w:val="00620117"/>
    <w:rsid w:val="00621A20"/>
    <w:rsid w:val="00621DFE"/>
    <w:rsid w:val="00621EB6"/>
    <w:rsid w:val="00623F0A"/>
    <w:rsid w:val="006243AB"/>
    <w:rsid w:val="006253BA"/>
    <w:rsid w:val="0062681A"/>
    <w:rsid w:val="00627D3E"/>
    <w:rsid w:val="006300FE"/>
    <w:rsid w:val="0063091D"/>
    <w:rsid w:val="006312A9"/>
    <w:rsid w:val="006312CA"/>
    <w:rsid w:val="00631318"/>
    <w:rsid w:val="00631432"/>
    <w:rsid w:val="00632DCB"/>
    <w:rsid w:val="00632FF6"/>
    <w:rsid w:val="00632FFA"/>
    <w:rsid w:val="00633B60"/>
    <w:rsid w:val="006346D1"/>
    <w:rsid w:val="00634FB2"/>
    <w:rsid w:val="00636472"/>
    <w:rsid w:val="00637701"/>
    <w:rsid w:val="00637A25"/>
    <w:rsid w:val="00640264"/>
    <w:rsid w:val="0064094E"/>
    <w:rsid w:val="00640B4D"/>
    <w:rsid w:val="0064104B"/>
    <w:rsid w:val="0064111E"/>
    <w:rsid w:val="00641BD7"/>
    <w:rsid w:val="0064265D"/>
    <w:rsid w:val="00642877"/>
    <w:rsid w:val="00642A34"/>
    <w:rsid w:val="00642DD6"/>
    <w:rsid w:val="0064395D"/>
    <w:rsid w:val="00643AB1"/>
    <w:rsid w:val="00643E91"/>
    <w:rsid w:val="00644B2C"/>
    <w:rsid w:val="00645217"/>
    <w:rsid w:val="006456E5"/>
    <w:rsid w:val="006457AE"/>
    <w:rsid w:val="00645A09"/>
    <w:rsid w:val="00646844"/>
    <w:rsid w:val="0064739A"/>
    <w:rsid w:val="00647F77"/>
    <w:rsid w:val="006508A1"/>
    <w:rsid w:val="00651841"/>
    <w:rsid w:val="00651D70"/>
    <w:rsid w:val="006529FD"/>
    <w:rsid w:val="00652A60"/>
    <w:rsid w:val="00653885"/>
    <w:rsid w:val="00654AB4"/>
    <w:rsid w:val="006550B9"/>
    <w:rsid w:val="00655D8E"/>
    <w:rsid w:val="00660CAD"/>
    <w:rsid w:val="00661F0B"/>
    <w:rsid w:val="00661F33"/>
    <w:rsid w:val="00662300"/>
    <w:rsid w:val="00662383"/>
    <w:rsid w:val="00663121"/>
    <w:rsid w:val="00663ECC"/>
    <w:rsid w:val="006645D7"/>
    <w:rsid w:val="00665382"/>
    <w:rsid w:val="006658CB"/>
    <w:rsid w:val="00665905"/>
    <w:rsid w:val="006665CF"/>
    <w:rsid w:val="006679E1"/>
    <w:rsid w:val="00667C2A"/>
    <w:rsid w:val="006700BC"/>
    <w:rsid w:val="00670DF7"/>
    <w:rsid w:val="00670F34"/>
    <w:rsid w:val="00671468"/>
    <w:rsid w:val="006714FF"/>
    <w:rsid w:val="00671932"/>
    <w:rsid w:val="006720B7"/>
    <w:rsid w:val="00672848"/>
    <w:rsid w:val="00673097"/>
    <w:rsid w:val="00675014"/>
    <w:rsid w:val="00676F84"/>
    <w:rsid w:val="00676FC5"/>
    <w:rsid w:val="00677380"/>
    <w:rsid w:val="006776E9"/>
    <w:rsid w:val="00677BCE"/>
    <w:rsid w:val="00677CEB"/>
    <w:rsid w:val="0068034C"/>
    <w:rsid w:val="00682521"/>
    <w:rsid w:val="00682E4F"/>
    <w:rsid w:val="006832D2"/>
    <w:rsid w:val="00683A4E"/>
    <w:rsid w:val="00684205"/>
    <w:rsid w:val="00684512"/>
    <w:rsid w:val="00684D35"/>
    <w:rsid w:val="00684F84"/>
    <w:rsid w:val="0068528A"/>
    <w:rsid w:val="00685E72"/>
    <w:rsid w:val="00685FAC"/>
    <w:rsid w:val="00686C21"/>
    <w:rsid w:val="00686C56"/>
    <w:rsid w:val="00690B3B"/>
    <w:rsid w:val="0069182B"/>
    <w:rsid w:val="006934D5"/>
    <w:rsid w:val="006936C2"/>
    <w:rsid w:val="00694083"/>
    <w:rsid w:val="0069410B"/>
    <w:rsid w:val="00694811"/>
    <w:rsid w:val="0069572E"/>
    <w:rsid w:val="00695E36"/>
    <w:rsid w:val="00695F53"/>
    <w:rsid w:val="00696052"/>
    <w:rsid w:val="0069622E"/>
    <w:rsid w:val="00696957"/>
    <w:rsid w:val="00696AE4"/>
    <w:rsid w:val="0069711E"/>
    <w:rsid w:val="0069727D"/>
    <w:rsid w:val="00697468"/>
    <w:rsid w:val="00697800"/>
    <w:rsid w:val="00697921"/>
    <w:rsid w:val="00697D23"/>
    <w:rsid w:val="006A0306"/>
    <w:rsid w:val="006A1344"/>
    <w:rsid w:val="006A153F"/>
    <w:rsid w:val="006A1753"/>
    <w:rsid w:val="006A1A42"/>
    <w:rsid w:val="006A2D4B"/>
    <w:rsid w:val="006A2E12"/>
    <w:rsid w:val="006A2ECA"/>
    <w:rsid w:val="006A3DF2"/>
    <w:rsid w:val="006A3E05"/>
    <w:rsid w:val="006A4C7E"/>
    <w:rsid w:val="006A555D"/>
    <w:rsid w:val="006A55DC"/>
    <w:rsid w:val="006A589C"/>
    <w:rsid w:val="006A61DB"/>
    <w:rsid w:val="006A6512"/>
    <w:rsid w:val="006A65CA"/>
    <w:rsid w:val="006A7D48"/>
    <w:rsid w:val="006B0BF0"/>
    <w:rsid w:val="006B1AC4"/>
    <w:rsid w:val="006B25BB"/>
    <w:rsid w:val="006B27A8"/>
    <w:rsid w:val="006B4012"/>
    <w:rsid w:val="006B4DEA"/>
    <w:rsid w:val="006B51D6"/>
    <w:rsid w:val="006C0020"/>
    <w:rsid w:val="006C0B09"/>
    <w:rsid w:val="006C1193"/>
    <w:rsid w:val="006C154E"/>
    <w:rsid w:val="006C1E0C"/>
    <w:rsid w:val="006C28F1"/>
    <w:rsid w:val="006C31F2"/>
    <w:rsid w:val="006C3B2B"/>
    <w:rsid w:val="006C3DE1"/>
    <w:rsid w:val="006C4361"/>
    <w:rsid w:val="006C45F5"/>
    <w:rsid w:val="006C4744"/>
    <w:rsid w:val="006C62B6"/>
    <w:rsid w:val="006C6F1A"/>
    <w:rsid w:val="006C7518"/>
    <w:rsid w:val="006C7A30"/>
    <w:rsid w:val="006C7E06"/>
    <w:rsid w:val="006C7EC3"/>
    <w:rsid w:val="006D13B2"/>
    <w:rsid w:val="006D18C6"/>
    <w:rsid w:val="006D21B8"/>
    <w:rsid w:val="006D225F"/>
    <w:rsid w:val="006D291A"/>
    <w:rsid w:val="006D2DEC"/>
    <w:rsid w:val="006D2F93"/>
    <w:rsid w:val="006D372A"/>
    <w:rsid w:val="006D3F1A"/>
    <w:rsid w:val="006D43C8"/>
    <w:rsid w:val="006D5BFA"/>
    <w:rsid w:val="006D5C00"/>
    <w:rsid w:val="006D6192"/>
    <w:rsid w:val="006D6697"/>
    <w:rsid w:val="006D6B2B"/>
    <w:rsid w:val="006D6FE1"/>
    <w:rsid w:val="006D7DCE"/>
    <w:rsid w:val="006D7F63"/>
    <w:rsid w:val="006E0A04"/>
    <w:rsid w:val="006E0C21"/>
    <w:rsid w:val="006E0C61"/>
    <w:rsid w:val="006E13A4"/>
    <w:rsid w:val="006E181E"/>
    <w:rsid w:val="006E197F"/>
    <w:rsid w:val="006E28CA"/>
    <w:rsid w:val="006E31A1"/>
    <w:rsid w:val="006E33BC"/>
    <w:rsid w:val="006E38EC"/>
    <w:rsid w:val="006E4A43"/>
    <w:rsid w:val="006E57A3"/>
    <w:rsid w:val="006E6224"/>
    <w:rsid w:val="006E66D8"/>
    <w:rsid w:val="006E66E3"/>
    <w:rsid w:val="006E6742"/>
    <w:rsid w:val="006E6DED"/>
    <w:rsid w:val="006E6DF8"/>
    <w:rsid w:val="006E7347"/>
    <w:rsid w:val="006E75D2"/>
    <w:rsid w:val="006F1445"/>
    <w:rsid w:val="006F20CF"/>
    <w:rsid w:val="006F3DCF"/>
    <w:rsid w:val="006F47D2"/>
    <w:rsid w:val="006F5A59"/>
    <w:rsid w:val="006F7643"/>
    <w:rsid w:val="007016AC"/>
    <w:rsid w:val="007017C5"/>
    <w:rsid w:val="00702B72"/>
    <w:rsid w:val="007034A1"/>
    <w:rsid w:val="007037BB"/>
    <w:rsid w:val="00703976"/>
    <w:rsid w:val="007043F4"/>
    <w:rsid w:val="00705922"/>
    <w:rsid w:val="00706020"/>
    <w:rsid w:val="007060C7"/>
    <w:rsid w:val="0070641E"/>
    <w:rsid w:val="0070673D"/>
    <w:rsid w:val="007069E8"/>
    <w:rsid w:val="00706D7B"/>
    <w:rsid w:val="00706F8A"/>
    <w:rsid w:val="00710322"/>
    <w:rsid w:val="00710DB5"/>
    <w:rsid w:val="0071186D"/>
    <w:rsid w:val="00712541"/>
    <w:rsid w:val="00712A74"/>
    <w:rsid w:val="007138C0"/>
    <w:rsid w:val="00713EFD"/>
    <w:rsid w:val="00714762"/>
    <w:rsid w:val="00714ABD"/>
    <w:rsid w:val="007156D1"/>
    <w:rsid w:val="00715A99"/>
    <w:rsid w:val="00715AAE"/>
    <w:rsid w:val="00716C2D"/>
    <w:rsid w:val="00717417"/>
    <w:rsid w:val="00717654"/>
    <w:rsid w:val="007176C1"/>
    <w:rsid w:val="0071772D"/>
    <w:rsid w:val="00717C1A"/>
    <w:rsid w:val="00720103"/>
    <w:rsid w:val="007201D2"/>
    <w:rsid w:val="0072041D"/>
    <w:rsid w:val="00720B7D"/>
    <w:rsid w:val="00720C4A"/>
    <w:rsid w:val="00720EB1"/>
    <w:rsid w:val="00720FF9"/>
    <w:rsid w:val="00721075"/>
    <w:rsid w:val="00721B67"/>
    <w:rsid w:val="007228A4"/>
    <w:rsid w:val="0072302B"/>
    <w:rsid w:val="007231AE"/>
    <w:rsid w:val="007237E2"/>
    <w:rsid w:val="00724CA2"/>
    <w:rsid w:val="007262F6"/>
    <w:rsid w:val="00726821"/>
    <w:rsid w:val="00726F78"/>
    <w:rsid w:val="007272A2"/>
    <w:rsid w:val="007275E8"/>
    <w:rsid w:val="007276E6"/>
    <w:rsid w:val="00727858"/>
    <w:rsid w:val="00727DBB"/>
    <w:rsid w:val="00730DC9"/>
    <w:rsid w:val="007314F5"/>
    <w:rsid w:val="00731864"/>
    <w:rsid w:val="00731DC4"/>
    <w:rsid w:val="0073395C"/>
    <w:rsid w:val="00733B0C"/>
    <w:rsid w:val="0073421B"/>
    <w:rsid w:val="00734BAB"/>
    <w:rsid w:val="00734C00"/>
    <w:rsid w:val="00735066"/>
    <w:rsid w:val="0073595D"/>
    <w:rsid w:val="00735AD9"/>
    <w:rsid w:val="00735C01"/>
    <w:rsid w:val="00736480"/>
    <w:rsid w:val="007400B7"/>
    <w:rsid w:val="00740284"/>
    <w:rsid w:val="0074085F"/>
    <w:rsid w:val="00741824"/>
    <w:rsid w:val="00741A9C"/>
    <w:rsid w:val="00742B26"/>
    <w:rsid w:val="00742ED4"/>
    <w:rsid w:val="0074327D"/>
    <w:rsid w:val="00743A65"/>
    <w:rsid w:val="00743EAE"/>
    <w:rsid w:val="00744658"/>
    <w:rsid w:val="00744E2C"/>
    <w:rsid w:val="007450A2"/>
    <w:rsid w:val="007453BA"/>
    <w:rsid w:val="00746434"/>
    <w:rsid w:val="007471FA"/>
    <w:rsid w:val="00747C9A"/>
    <w:rsid w:val="00751B85"/>
    <w:rsid w:val="00751E2F"/>
    <w:rsid w:val="00752D4F"/>
    <w:rsid w:val="0075308A"/>
    <w:rsid w:val="0075396E"/>
    <w:rsid w:val="00753B34"/>
    <w:rsid w:val="00754C80"/>
    <w:rsid w:val="00755BC4"/>
    <w:rsid w:val="0076011F"/>
    <w:rsid w:val="007603D8"/>
    <w:rsid w:val="007604B2"/>
    <w:rsid w:val="00760821"/>
    <w:rsid w:val="00760995"/>
    <w:rsid w:val="00761E8A"/>
    <w:rsid w:val="0076244A"/>
    <w:rsid w:val="00762CE2"/>
    <w:rsid w:val="00762EC2"/>
    <w:rsid w:val="00762EDD"/>
    <w:rsid w:val="007634E7"/>
    <w:rsid w:val="0076420E"/>
    <w:rsid w:val="00764618"/>
    <w:rsid w:val="00764D91"/>
    <w:rsid w:val="00764E0E"/>
    <w:rsid w:val="007652C4"/>
    <w:rsid w:val="00765500"/>
    <w:rsid w:val="00766C95"/>
    <w:rsid w:val="00766F3D"/>
    <w:rsid w:val="00770B0A"/>
    <w:rsid w:val="007711F4"/>
    <w:rsid w:val="007712CA"/>
    <w:rsid w:val="0077221D"/>
    <w:rsid w:val="00772AFE"/>
    <w:rsid w:val="0077321E"/>
    <w:rsid w:val="007739D8"/>
    <w:rsid w:val="00774F50"/>
    <w:rsid w:val="007758D8"/>
    <w:rsid w:val="00775F3C"/>
    <w:rsid w:val="00776D40"/>
    <w:rsid w:val="0077705C"/>
    <w:rsid w:val="0077728C"/>
    <w:rsid w:val="007778FB"/>
    <w:rsid w:val="007779E9"/>
    <w:rsid w:val="007803D5"/>
    <w:rsid w:val="0078069E"/>
    <w:rsid w:val="00781AEC"/>
    <w:rsid w:val="00782964"/>
    <w:rsid w:val="00782D0B"/>
    <w:rsid w:val="00782E70"/>
    <w:rsid w:val="00783029"/>
    <w:rsid w:val="00783CF1"/>
    <w:rsid w:val="00785218"/>
    <w:rsid w:val="00785571"/>
    <w:rsid w:val="007861EE"/>
    <w:rsid w:val="00787301"/>
    <w:rsid w:val="0078738E"/>
    <w:rsid w:val="0078798B"/>
    <w:rsid w:val="00790A8B"/>
    <w:rsid w:val="00790DDC"/>
    <w:rsid w:val="00790E3F"/>
    <w:rsid w:val="00790EB3"/>
    <w:rsid w:val="00791AFF"/>
    <w:rsid w:val="00791D6E"/>
    <w:rsid w:val="0079225D"/>
    <w:rsid w:val="00794191"/>
    <w:rsid w:val="0079560B"/>
    <w:rsid w:val="007957B6"/>
    <w:rsid w:val="007960BE"/>
    <w:rsid w:val="00797592"/>
    <w:rsid w:val="00797C37"/>
    <w:rsid w:val="007A0386"/>
    <w:rsid w:val="007A03CA"/>
    <w:rsid w:val="007A0683"/>
    <w:rsid w:val="007A10B6"/>
    <w:rsid w:val="007A1868"/>
    <w:rsid w:val="007A21A7"/>
    <w:rsid w:val="007A227F"/>
    <w:rsid w:val="007A28F0"/>
    <w:rsid w:val="007A2BC4"/>
    <w:rsid w:val="007A2D3B"/>
    <w:rsid w:val="007A31E4"/>
    <w:rsid w:val="007A39FB"/>
    <w:rsid w:val="007A3BE7"/>
    <w:rsid w:val="007A3D0F"/>
    <w:rsid w:val="007A48BA"/>
    <w:rsid w:val="007A4CBD"/>
    <w:rsid w:val="007A56EF"/>
    <w:rsid w:val="007A5EE0"/>
    <w:rsid w:val="007A67B9"/>
    <w:rsid w:val="007A6CD8"/>
    <w:rsid w:val="007A768A"/>
    <w:rsid w:val="007A7F31"/>
    <w:rsid w:val="007A7FC3"/>
    <w:rsid w:val="007B007B"/>
    <w:rsid w:val="007B03B4"/>
    <w:rsid w:val="007B0C2B"/>
    <w:rsid w:val="007B1DBD"/>
    <w:rsid w:val="007B2275"/>
    <w:rsid w:val="007B22D9"/>
    <w:rsid w:val="007B316F"/>
    <w:rsid w:val="007B326B"/>
    <w:rsid w:val="007B3A8E"/>
    <w:rsid w:val="007B3B88"/>
    <w:rsid w:val="007B4D33"/>
    <w:rsid w:val="007B7BF8"/>
    <w:rsid w:val="007C0721"/>
    <w:rsid w:val="007C0BE7"/>
    <w:rsid w:val="007C21EC"/>
    <w:rsid w:val="007C2462"/>
    <w:rsid w:val="007C2633"/>
    <w:rsid w:val="007C2A4A"/>
    <w:rsid w:val="007C2A5B"/>
    <w:rsid w:val="007C2C1D"/>
    <w:rsid w:val="007C2F22"/>
    <w:rsid w:val="007C31FB"/>
    <w:rsid w:val="007C4519"/>
    <w:rsid w:val="007C478F"/>
    <w:rsid w:val="007C49DC"/>
    <w:rsid w:val="007C6511"/>
    <w:rsid w:val="007C67D8"/>
    <w:rsid w:val="007C6A59"/>
    <w:rsid w:val="007D09B9"/>
    <w:rsid w:val="007D0D8E"/>
    <w:rsid w:val="007D0E92"/>
    <w:rsid w:val="007D1049"/>
    <w:rsid w:val="007D157C"/>
    <w:rsid w:val="007D1AD0"/>
    <w:rsid w:val="007D1E15"/>
    <w:rsid w:val="007D27CE"/>
    <w:rsid w:val="007D2A8D"/>
    <w:rsid w:val="007D2B8E"/>
    <w:rsid w:val="007D2D6B"/>
    <w:rsid w:val="007D3002"/>
    <w:rsid w:val="007D3E4F"/>
    <w:rsid w:val="007D445F"/>
    <w:rsid w:val="007D45BD"/>
    <w:rsid w:val="007D4B17"/>
    <w:rsid w:val="007D4E5E"/>
    <w:rsid w:val="007D5DCE"/>
    <w:rsid w:val="007D5E62"/>
    <w:rsid w:val="007D627F"/>
    <w:rsid w:val="007D6FC4"/>
    <w:rsid w:val="007D7143"/>
    <w:rsid w:val="007D78BC"/>
    <w:rsid w:val="007E08B1"/>
    <w:rsid w:val="007E1200"/>
    <w:rsid w:val="007E1E78"/>
    <w:rsid w:val="007E2686"/>
    <w:rsid w:val="007E2965"/>
    <w:rsid w:val="007E36F3"/>
    <w:rsid w:val="007E397F"/>
    <w:rsid w:val="007E3CCB"/>
    <w:rsid w:val="007E3EAD"/>
    <w:rsid w:val="007E3F59"/>
    <w:rsid w:val="007E448F"/>
    <w:rsid w:val="007E4DC2"/>
    <w:rsid w:val="007E5366"/>
    <w:rsid w:val="007E53C2"/>
    <w:rsid w:val="007E61F1"/>
    <w:rsid w:val="007E6A14"/>
    <w:rsid w:val="007E6EA5"/>
    <w:rsid w:val="007E70AF"/>
    <w:rsid w:val="007E70B1"/>
    <w:rsid w:val="007E7399"/>
    <w:rsid w:val="007F1780"/>
    <w:rsid w:val="007F1827"/>
    <w:rsid w:val="007F1FE3"/>
    <w:rsid w:val="007F21B6"/>
    <w:rsid w:val="007F2D1F"/>
    <w:rsid w:val="007F3D8F"/>
    <w:rsid w:val="007F405B"/>
    <w:rsid w:val="007F5958"/>
    <w:rsid w:val="007F635C"/>
    <w:rsid w:val="007F6503"/>
    <w:rsid w:val="007F6748"/>
    <w:rsid w:val="007F6CE6"/>
    <w:rsid w:val="007F76BA"/>
    <w:rsid w:val="007F7868"/>
    <w:rsid w:val="007F7AEE"/>
    <w:rsid w:val="007F7F9A"/>
    <w:rsid w:val="00800014"/>
    <w:rsid w:val="008006C0"/>
    <w:rsid w:val="00800BB6"/>
    <w:rsid w:val="00801080"/>
    <w:rsid w:val="008013FF"/>
    <w:rsid w:val="008014F6"/>
    <w:rsid w:val="00801762"/>
    <w:rsid w:val="00801890"/>
    <w:rsid w:val="00801995"/>
    <w:rsid w:val="008020B7"/>
    <w:rsid w:val="00802594"/>
    <w:rsid w:val="00802885"/>
    <w:rsid w:val="00802C98"/>
    <w:rsid w:val="00804EEA"/>
    <w:rsid w:val="0080563E"/>
    <w:rsid w:val="00805C45"/>
    <w:rsid w:val="00811C41"/>
    <w:rsid w:val="00812845"/>
    <w:rsid w:val="00812CC6"/>
    <w:rsid w:val="0081336D"/>
    <w:rsid w:val="00813491"/>
    <w:rsid w:val="0081352C"/>
    <w:rsid w:val="00813C43"/>
    <w:rsid w:val="00813D49"/>
    <w:rsid w:val="00815AE2"/>
    <w:rsid w:val="00815FD7"/>
    <w:rsid w:val="00816A70"/>
    <w:rsid w:val="00816C41"/>
    <w:rsid w:val="00816CD0"/>
    <w:rsid w:val="00816ED6"/>
    <w:rsid w:val="00817B41"/>
    <w:rsid w:val="0082070D"/>
    <w:rsid w:val="008208E3"/>
    <w:rsid w:val="008212FB"/>
    <w:rsid w:val="00821F5C"/>
    <w:rsid w:val="00822391"/>
    <w:rsid w:val="0082244B"/>
    <w:rsid w:val="00822C05"/>
    <w:rsid w:val="00823381"/>
    <w:rsid w:val="00823EFB"/>
    <w:rsid w:val="008259B9"/>
    <w:rsid w:val="00825BEE"/>
    <w:rsid w:val="00826651"/>
    <w:rsid w:val="008267A2"/>
    <w:rsid w:val="00826AE1"/>
    <w:rsid w:val="00826D49"/>
    <w:rsid w:val="00826E09"/>
    <w:rsid w:val="0082753A"/>
    <w:rsid w:val="008278B6"/>
    <w:rsid w:val="00827E7A"/>
    <w:rsid w:val="00830E9D"/>
    <w:rsid w:val="00830F73"/>
    <w:rsid w:val="008314BD"/>
    <w:rsid w:val="00831712"/>
    <w:rsid w:val="00832191"/>
    <w:rsid w:val="00832C1A"/>
    <w:rsid w:val="00832DDD"/>
    <w:rsid w:val="00832E5A"/>
    <w:rsid w:val="0083374C"/>
    <w:rsid w:val="00833BBC"/>
    <w:rsid w:val="00833F0D"/>
    <w:rsid w:val="0083406C"/>
    <w:rsid w:val="00834ADB"/>
    <w:rsid w:val="0083563B"/>
    <w:rsid w:val="008361E2"/>
    <w:rsid w:val="00836301"/>
    <w:rsid w:val="0083634C"/>
    <w:rsid w:val="00836579"/>
    <w:rsid w:val="008402F4"/>
    <w:rsid w:val="00840E1A"/>
    <w:rsid w:val="00841022"/>
    <w:rsid w:val="00841378"/>
    <w:rsid w:val="00841B75"/>
    <w:rsid w:val="00841FC0"/>
    <w:rsid w:val="0084354B"/>
    <w:rsid w:val="00843573"/>
    <w:rsid w:val="008451A4"/>
    <w:rsid w:val="00845C66"/>
    <w:rsid w:val="00846358"/>
    <w:rsid w:val="00846D35"/>
    <w:rsid w:val="00846D73"/>
    <w:rsid w:val="00847847"/>
    <w:rsid w:val="008478BF"/>
    <w:rsid w:val="00847A81"/>
    <w:rsid w:val="00847D80"/>
    <w:rsid w:val="008509E8"/>
    <w:rsid w:val="00850A61"/>
    <w:rsid w:val="008521D3"/>
    <w:rsid w:val="008522C8"/>
    <w:rsid w:val="0085276B"/>
    <w:rsid w:val="008529EB"/>
    <w:rsid w:val="00852B15"/>
    <w:rsid w:val="008535A9"/>
    <w:rsid w:val="00853903"/>
    <w:rsid w:val="00854DE5"/>
    <w:rsid w:val="00855633"/>
    <w:rsid w:val="00855667"/>
    <w:rsid w:val="00855E9C"/>
    <w:rsid w:val="00857700"/>
    <w:rsid w:val="00857E99"/>
    <w:rsid w:val="0086094F"/>
    <w:rsid w:val="008625A6"/>
    <w:rsid w:val="00862DE6"/>
    <w:rsid w:val="008631D9"/>
    <w:rsid w:val="00863751"/>
    <w:rsid w:val="00863A08"/>
    <w:rsid w:val="008647C2"/>
    <w:rsid w:val="00864BF4"/>
    <w:rsid w:val="008652E0"/>
    <w:rsid w:val="0086549D"/>
    <w:rsid w:val="00865E50"/>
    <w:rsid w:val="00866662"/>
    <w:rsid w:val="008667BA"/>
    <w:rsid w:val="00866CBF"/>
    <w:rsid w:val="00867218"/>
    <w:rsid w:val="0086728D"/>
    <w:rsid w:val="00867C82"/>
    <w:rsid w:val="00867D5E"/>
    <w:rsid w:val="00870ABF"/>
    <w:rsid w:val="00870E4F"/>
    <w:rsid w:val="00872910"/>
    <w:rsid w:val="00872C72"/>
    <w:rsid w:val="00874758"/>
    <w:rsid w:val="00874C6C"/>
    <w:rsid w:val="0087539A"/>
    <w:rsid w:val="00876127"/>
    <w:rsid w:val="008765C6"/>
    <w:rsid w:val="00876652"/>
    <w:rsid w:val="00876B31"/>
    <w:rsid w:val="00876CC0"/>
    <w:rsid w:val="00877233"/>
    <w:rsid w:val="008812FD"/>
    <w:rsid w:val="0088175C"/>
    <w:rsid w:val="00881926"/>
    <w:rsid w:val="00881D3B"/>
    <w:rsid w:val="008822D9"/>
    <w:rsid w:val="00882DF2"/>
    <w:rsid w:val="00882F0E"/>
    <w:rsid w:val="00883749"/>
    <w:rsid w:val="0088379A"/>
    <w:rsid w:val="008840F3"/>
    <w:rsid w:val="00884652"/>
    <w:rsid w:val="008849F9"/>
    <w:rsid w:val="00884A77"/>
    <w:rsid w:val="00884B04"/>
    <w:rsid w:val="00884FE5"/>
    <w:rsid w:val="00885C72"/>
    <w:rsid w:val="008865B6"/>
    <w:rsid w:val="00886627"/>
    <w:rsid w:val="00886D8C"/>
    <w:rsid w:val="00887237"/>
    <w:rsid w:val="00887F1F"/>
    <w:rsid w:val="008900CC"/>
    <w:rsid w:val="00891527"/>
    <w:rsid w:val="008916FF"/>
    <w:rsid w:val="00891FA0"/>
    <w:rsid w:val="008925EB"/>
    <w:rsid w:val="00893286"/>
    <w:rsid w:val="00895BBE"/>
    <w:rsid w:val="0089627D"/>
    <w:rsid w:val="00897174"/>
    <w:rsid w:val="00897DD9"/>
    <w:rsid w:val="00897E03"/>
    <w:rsid w:val="008A0BDD"/>
    <w:rsid w:val="008A0FB2"/>
    <w:rsid w:val="008A12E3"/>
    <w:rsid w:val="008A177B"/>
    <w:rsid w:val="008A30AF"/>
    <w:rsid w:val="008A39AA"/>
    <w:rsid w:val="008A3D99"/>
    <w:rsid w:val="008A5290"/>
    <w:rsid w:val="008A710F"/>
    <w:rsid w:val="008A7F9A"/>
    <w:rsid w:val="008B0318"/>
    <w:rsid w:val="008B0B9F"/>
    <w:rsid w:val="008B1270"/>
    <w:rsid w:val="008B2813"/>
    <w:rsid w:val="008B3BA8"/>
    <w:rsid w:val="008B41D0"/>
    <w:rsid w:val="008B4705"/>
    <w:rsid w:val="008B486F"/>
    <w:rsid w:val="008B531E"/>
    <w:rsid w:val="008B62CA"/>
    <w:rsid w:val="008B668D"/>
    <w:rsid w:val="008B68B7"/>
    <w:rsid w:val="008B69A0"/>
    <w:rsid w:val="008B77D0"/>
    <w:rsid w:val="008B7D42"/>
    <w:rsid w:val="008C0A4D"/>
    <w:rsid w:val="008C1587"/>
    <w:rsid w:val="008C1599"/>
    <w:rsid w:val="008C2299"/>
    <w:rsid w:val="008C236A"/>
    <w:rsid w:val="008C2EA0"/>
    <w:rsid w:val="008C3E45"/>
    <w:rsid w:val="008C40C9"/>
    <w:rsid w:val="008C450F"/>
    <w:rsid w:val="008C4B0D"/>
    <w:rsid w:val="008C4E70"/>
    <w:rsid w:val="008C578F"/>
    <w:rsid w:val="008C59FB"/>
    <w:rsid w:val="008C5A50"/>
    <w:rsid w:val="008C6603"/>
    <w:rsid w:val="008C72CD"/>
    <w:rsid w:val="008C7963"/>
    <w:rsid w:val="008D1024"/>
    <w:rsid w:val="008D1113"/>
    <w:rsid w:val="008D13DD"/>
    <w:rsid w:val="008D13F6"/>
    <w:rsid w:val="008D17BB"/>
    <w:rsid w:val="008D1800"/>
    <w:rsid w:val="008D1A7F"/>
    <w:rsid w:val="008D1CA5"/>
    <w:rsid w:val="008D1EAF"/>
    <w:rsid w:val="008D212C"/>
    <w:rsid w:val="008D214F"/>
    <w:rsid w:val="008D2913"/>
    <w:rsid w:val="008D40B5"/>
    <w:rsid w:val="008D4728"/>
    <w:rsid w:val="008D5254"/>
    <w:rsid w:val="008D5514"/>
    <w:rsid w:val="008D6248"/>
    <w:rsid w:val="008D643F"/>
    <w:rsid w:val="008D6BA9"/>
    <w:rsid w:val="008D7654"/>
    <w:rsid w:val="008D7D63"/>
    <w:rsid w:val="008E1099"/>
    <w:rsid w:val="008E12CE"/>
    <w:rsid w:val="008E178A"/>
    <w:rsid w:val="008E19C1"/>
    <w:rsid w:val="008E1DA9"/>
    <w:rsid w:val="008E21B7"/>
    <w:rsid w:val="008E2E76"/>
    <w:rsid w:val="008E31A0"/>
    <w:rsid w:val="008E43B6"/>
    <w:rsid w:val="008E43D9"/>
    <w:rsid w:val="008E5ABC"/>
    <w:rsid w:val="008E6A00"/>
    <w:rsid w:val="008E6A07"/>
    <w:rsid w:val="008E7C84"/>
    <w:rsid w:val="008E7EAC"/>
    <w:rsid w:val="008F1170"/>
    <w:rsid w:val="008F170F"/>
    <w:rsid w:val="008F1D06"/>
    <w:rsid w:val="008F1E80"/>
    <w:rsid w:val="008F2EE6"/>
    <w:rsid w:val="008F2F85"/>
    <w:rsid w:val="008F37E5"/>
    <w:rsid w:val="008F3892"/>
    <w:rsid w:val="008F3DBD"/>
    <w:rsid w:val="008F412B"/>
    <w:rsid w:val="008F4666"/>
    <w:rsid w:val="008F474D"/>
    <w:rsid w:val="008F4B67"/>
    <w:rsid w:val="008F649B"/>
    <w:rsid w:val="008F65B1"/>
    <w:rsid w:val="008F6AF6"/>
    <w:rsid w:val="008F6DEC"/>
    <w:rsid w:val="008F6FD6"/>
    <w:rsid w:val="008F79E6"/>
    <w:rsid w:val="008F7F52"/>
    <w:rsid w:val="00900B98"/>
    <w:rsid w:val="00900F2E"/>
    <w:rsid w:val="0090104A"/>
    <w:rsid w:val="00901126"/>
    <w:rsid w:val="00901AF5"/>
    <w:rsid w:val="0090236B"/>
    <w:rsid w:val="00903102"/>
    <w:rsid w:val="00903E4F"/>
    <w:rsid w:val="00904299"/>
    <w:rsid w:val="00904A3A"/>
    <w:rsid w:val="009059AE"/>
    <w:rsid w:val="009063A3"/>
    <w:rsid w:val="0090711C"/>
    <w:rsid w:val="00907433"/>
    <w:rsid w:val="00907466"/>
    <w:rsid w:val="0090778B"/>
    <w:rsid w:val="009078B1"/>
    <w:rsid w:val="00907A57"/>
    <w:rsid w:val="00910E90"/>
    <w:rsid w:val="009118DA"/>
    <w:rsid w:val="009119E6"/>
    <w:rsid w:val="009124E1"/>
    <w:rsid w:val="0091260A"/>
    <w:rsid w:val="00912685"/>
    <w:rsid w:val="00912D11"/>
    <w:rsid w:val="009137C4"/>
    <w:rsid w:val="00913D2D"/>
    <w:rsid w:val="00913E51"/>
    <w:rsid w:val="00914741"/>
    <w:rsid w:val="00914A20"/>
    <w:rsid w:val="00914A48"/>
    <w:rsid w:val="00915449"/>
    <w:rsid w:val="00915591"/>
    <w:rsid w:val="009159D3"/>
    <w:rsid w:val="00915A2E"/>
    <w:rsid w:val="00915EFE"/>
    <w:rsid w:val="009165F0"/>
    <w:rsid w:val="00920E5C"/>
    <w:rsid w:val="0092154B"/>
    <w:rsid w:val="00921658"/>
    <w:rsid w:val="0092202B"/>
    <w:rsid w:val="00922D4D"/>
    <w:rsid w:val="00922F1C"/>
    <w:rsid w:val="00923CBD"/>
    <w:rsid w:val="00924E7F"/>
    <w:rsid w:val="00924F92"/>
    <w:rsid w:val="00925233"/>
    <w:rsid w:val="00925989"/>
    <w:rsid w:val="00925E33"/>
    <w:rsid w:val="00925E82"/>
    <w:rsid w:val="0092721F"/>
    <w:rsid w:val="00927E97"/>
    <w:rsid w:val="00930694"/>
    <w:rsid w:val="00930704"/>
    <w:rsid w:val="00930B79"/>
    <w:rsid w:val="00930E7C"/>
    <w:rsid w:val="00931109"/>
    <w:rsid w:val="009315BB"/>
    <w:rsid w:val="009315FB"/>
    <w:rsid w:val="0093170F"/>
    <w:rsid w:val="00931C56"/>
    <w:rsid w:val="009328A0"/>
    <w:rsid w:val="009331F3"/>
    <w:rsid w:val="009332BE"/>
    <w:rsid w:val="00933724"/>
    <w:rsid w:val="009337C0"/>
    <w:rsid w:val="00933C21"/>
    <w:rsid w:val="00933E86"/>
    <w:rsid w:val="0093415D"/>
    <w:rsid w:val="00935710"/>
    <w:rsid w:val="00935D48"/>
    <w:rsid w:val="00935DCC"/>
    <w:rsid w:val="00935DF0"/>
    <w:rsid w:val="00936032"/>
    <w:rsid w:val="00937435"/>
    <w:rsid w:val="00937E03"/>
    <w:rsid w:val="00940683"/>
    <w:rsid w:val="009409DD"/>
    <w:rsid w:val="00940D10"/>
    <w:rsid w:val="00941079"/>
    <w:rsid w:val="00942192"/>
    <w:rsid w:val="00942850"/>
    <w:rsid w:val="0094287C"/>
    <w:rsid w:val="00942C10"/>
    <w:rsid w:val="00942D1F"/>
    <w:rsid w:val="00944629"/>
    <w:rsid w:val="00945CEC"/>
    <w:rsid w:val="00946162"/>
    <w:rsid w:val="009461EA"/>
    <w:rsid w:val="00946BC1"/>
    <w:rsid w:val="009479D9"/>
    <w:rsid w:val="0095047A"/>
    <w:rsid w:val="00950E09"/>
    <w:rsid w:val="00953034"/>
    <w:rsid w:val="009531A6"/>
    <w:rsid w:val="00953207"/>
    <w:rsid w:val="00953333"/>
    <w:rsid w:val="00953D25"/>
    <w:rsid w:val="00955816"/>
    <w:rsid w:val="00955ACE"/>
    <w:rsid w:val="0095636E"/>
    <w:rsid w:val="0095644A"/>
    <w:rsid w:val="00956605"/>
    <w:rsid w:val="00956CBC"/>
    <w:rsid w:val="009605EB"/>
    <w:rsid w:val="00961319"/>
    <w:rsid w:val="00961410"/>
    <w:rsid w:val="009631E7"/>
    <w:rsid w:val="009638BB"/>
    <w:rsid w:val="00963BFF"/>
    <w:rsid w:val="009640F1"/>
    <w:rsid w:val="00964771"/>
    <w:rsid w:val="00966495"/>
    <w:rsid w:val="00966C32"/>
    <w:rsid w:val="00967467"/>
    <w:rsid w:val="00967711"/>
    <w:rsid w:val="009704F0"/>
    <w:rsid w:val="009708C6"/>
    <w:rsid w:val="00971180"/>
    <w:rsid w:val="00971D2F"/>
    <w:rsid w:val="00973E10"/>
    <w:rsid w:val="00976112"/>
    <w:rsid w:val="00976F27"/>
    <w:rsid w:val="009770C7"/>
    <w:rsid w:val="00980554"/>
    <w:rsid w:val="009807CE"/>
    <w:rsid w:val="0098118A"/>
    <w:rsid w:val="0098272D"/>
    <w:rsid w:val="00982808"/>
    <w:rsid w:val="009830D7"/>
    <w:rsid w:val="00983194"/>
    <w:rsid w:val="00983526"/>
    <w:rsid w:val="00984109"/>
    <w:rsid w:val="00984635"/>
    <w:rsid w:val="009853F4"/>
    <w:rsid w:val="00985646"/>
    <w:rsid w:val="0098572D"/>
    <w:rsid w:val="00986352"/>
    <w:rsid w:val="0098693C"/>
    <w:rsid w:val="00986996"/>
    <w:rsid w:val="0098726F"/>
    <w:rsid w:val="009876DD"/>
    <w:rsid w:val="00990595"/>
    <w:rsid w:val="009906B6"/>
    <w:rsid w:val="00990CD1"/>
    <w:rsid w:val="00990D45"/>
    <w:rsid w:val="0099147B"/>
    <w:rsid w:val="0099148F"/>
    <w:rsid w:val="00991CB0"/>
    <w:rsid w:val="00991CD9"/>
    <w:rsid w:val="009926AC"/>
    <w:rsid w:val="00992C3B"/>
    <w:rsid w:val="00992EC2"/>
    <w:rsid w:val="00993025"/>
    <w:rsid w:val="009934DB"/>
    <w:rsid w:val="00993CC1"/>
    <w:rsid w:val="009940B9"/>
    <w:rsid w:val="00994484"/>
    <w:rsid w:val="009945BA"/>
    <w:rsid w:val="00994C96"/>
    <w:rsid w:val="00994FD9"/>
    <w:rsid w:val="00995887"/>
    <w:rsid w:val="009959CC"/>
    <w:rsid w:val="00995BE0"/>
    <w:rsid w:val="00995CCD"/>
    <w:rsid w:val="00996225"/>
    <w:rsid w:val="00996846"/>
    <w:rsid w:val="009976D5"/>
    <w:rsid w:val="009A0247"/>
    <w:rsid w:val="009A1497"/>
    <w:rsid w:val="009A290B"/>
    <w:rsid w:val="009A2C19"/>
    <w:rsid w:val="009A376E"/>
    <w:rsid w:val="009A3C22"/>
    <w:rsid w:val="009A3D9F"/>
    <w:rsid w:val="009A3E55"/>
    <w:rsid w:val="009A3F1C"/>
    <w:rsid w:val="009A4315"/>
    <w:rsid w:val="009A45F6"/>
    <w:rsid w:val="009A4A8A"/>
    <w:rsid w:val="009A5CDB"/>
    <w:rsid w:val="009A5D44"/>
    <w:rsid w:val="009A6C15"/>
    <w:rsid w:val="009A6C4A"/>
    <w:rsid w:val="009A72E6"/>
    <w:rsid w:val="009A7522"/>
    <w:rsid w:val="009A7A4B"/>
    <w:rsid w:val="009B05BE"/>
    <w:rsid w:val="009B0AD0"/>
    <w:rsid w:val="009B24C2"/>
    <w:rsid w:val="009B26FB"/>
    <w:rsid w:val="009B3CD9"/>
    <w:rsid w:val="009B3D68"/>
    <w:rsid w:val="009B487A"/>
    <w:rsid w:val="009B6AE3"/>
    <w:rsid w:val="009B71E6"/>
    <w:rsid w:val="009B7CD4"/>
    <w:rsid w:val="009B7E5A"/>
    <w:rsid w:val="009C0227"/>
    <w:rsid w:val="009C0421"/>
    <w:rsid w:val="009C125B"/>
    <w:rsid w:val="009C13FD"/>
    <w:rsid w:val="009C1846"/>
    <w:rsid w:val="009C1C56"/>
    <w:rsid w:val="009C2478"/>
    <w:rsid w:val="009C4448"/>
    <w:rsid w:val="009C500B"/>
    <w:rsid w:val="009C5E35"/>
    <w:rsid w:val="009C61B9"/>
    <w:rsid w:val="009C6D80"/>
    <w:rsid w:val="009C72B1"/>
    <w:rsid w:val="009C72E2"/>
    <w:rsid w:val="009C768B"/>
    <w:rsid w:val="009C7EB2"/>
    <w:rsid w:val="009D0654"/>
    <w:rsid w:val="009D152D"/>
    <w:rsid w:val="009D1FF0"/>
    <w:rsid w:val="009D2DFF"/>
    <w:rsid w:val="009D2EB4"/>
    <w:rsid w:val="009D3074"/>
    <w:rsid w:val="009D31E9"/>
    <w:rsid w:val="009D4E68"/>
    <w:rsid w:val="009D547B"/>
    <w:rsid w:val="009D63A5"/>
    <w:rsid w:val="009D6C62"/>
    <w:rsid w:val="009D7152"/>
    <w:rsid w:val="009D7371"/>
    <w:rsid w:val="009D748C"/>
    <w:rsid w:val="009D7789"/>
    <w:rsid w:val="009E030D"/>
    <w:rsid w:val="009E11B9"/>
    <w:rsid w:val="009E2006"/>
    <w:rsid w:val="009E2AFB"/>
    <w:rsid w:val="009E2BF8"/>
    <w:rsid w:val="009E2CEE"/>
    <w:rsid w:val="009E3FE3"/>
    <w:rsid w:val="009E4617"/>
    <w:rsid w:val="009E60B3"/>
    <w:rsid w:val="009E65B1"/>
    <w:rsid w:val="009E6D11"/>
    <w:rsid w:val="009E72CB"/>
    <w:rsid w:val="009E7791"/>
    <w:rsid w:val="009F01E7"/>
    <w:rsid w:val="009F04A3"/>
    <w:rsid w:val="009F0610"/>
    <w:rsid w:val="009F089E"/>
    <w:rsid w:val="009F14A7"/>
    <w:rsid w:val="009F174A"/>
    <w:rsid w:val="009F193C"/>
    <w:rsid w:val="009F34B5"/>
    <w:rsid w:val="009F41D1"/>
    <w:rsid w:val="009F4FEC"/>
    <w:rsid w:val="009F5712"/>
    <w:rsid w:val="009F59A7"/>
    <w:rsid w:val="009F5B7A"/>
    <w:rsid w:val="009F690F"/>
    <w:rsid w:val="009F72FC"/>
    <w:rsid w:val="009F78C8"/>
    <w:rsid w:val="00A000AD"/>
    <w:rsid w:val="00A00A18"/>
    <w:rsid w:val="00A01640"/>
    <w:rsid w:val="00A0214D"/>
    <w:rsid w:val="00A02EAE"/>
    <w:rsid w:val="00A03D4B"/>
    <w:rsid w:val="00A045A7"/>
    <w:rsid w:val="00A048F8"/>
    <w:rsid w:val="00A04F94"/>
    <w:rsid w:val="00A05A57"/>
    <w:rsid w:val="00A05CE0"/>
    <w:rsid w:val="00A0600F"/>
    <w:rsid w:val="00A061FF"/>
    <w:rsid w:val="00A0663B"/>
    <w:rsid w:val="00A06D25"/>
    <w:rsid w:val="00A06E5D"/>
    <w:rsid w:val="00A073D1"/>
    <w:rsid w:val="00A10036"/>
    <w:rsid w:val="00A1042B"/>
    <w:rsid w:val="00A10F5B"/>
    <w:rsid w:val="00A12AB9"/>
    <w:rsid w:val="00A13008"/>
    <w:rsid w:val="00A1318A"/>
    <w:rsid w:val="00A13B98"/>
    <w:rsid w:val="00A13FA9"/>
    <w:rsid w:val="00A142E6"/>
    <w:rsid w:val="00A14FDE"/>
    <w:rsid w:val="00A15299"/>
    <w:rsid w:val="00A1639C"/>
    <w:rsid w:val="00A16D65"/>
    <w:rsid w:val="00A16F27"/>
    <w:rsid w:val="00A17A4D"/>
    <w:rsid w:val="00A17B85"/>
    <w:rsid w:val="00A208D4"/>
    <w:rsid w:val="00A20B25"/>
    <w:rsid w:val="00A20EF3"/>
    <w:rsid w:val="00A21D03"/>
    <w:rsid w:val="00A221D0"/>
    <w:rsid w:val="00A223DD"/>
    <w:rsid w:val="00A22E18"/>
    <w:rsid w:val="00A22E38"/>
    <w:rsid w:val="00A2372E"/>
    <w:rsid w:val="00A237CC"/>
    <w:rsid w:val="00A23918"/>
    <w:rsid w:val="00A23BD1"/>
    <w:rsid w:val="00A241D2"/>
    <w:rsid w:val="00A2510E"/>
    <w:rsid w:val="00A26116"/>
    <w:rsid w:val="00A266F6"/>
    <w:rsid w:val="00A26D0C"/>
    <w:rsid w:val="00A270B1"/>
    <w:rsid w:val="00A27285"/>
    <w:rsid w:val="00A300EA"/>
    <w:rsid w:val="00A31189"/>
    <w:rsid w:val="00A31639"/>
    <w:rsid w:val="00A31A58"/>
    <w:rsid w:val="00A31BD8"/>
    <w:rsid w:val="00A31DE4"/>
    <w:rsid w:val="00A32D6D"/>
    <w:rsid w:val="00A3380C"/>
    <w:rsid w:val="00A33CD0"/>
    <w:rsid w:val="00A34B55"/>
    <w:rsid w:val="00A35249"/>
    <w:rsid w:val="00A35366"/>
    <w:rsid w:val="00A373BB"/>
    <w:rsid w:val="00A40110"/>
    <w:rsid w:val="00A41410"/>
    <w:rsid w:val="00A4204B"/>
    <w:rsid w:val="00A425B0"/>
    <w:rsid w:val="00A435DE"/>
    <w:rsid w:val="00A436F4"/>
    <w:rsid w:val="00A436FF"/>
    <w:rsid w:val="00A43E45"/>
    <w:rsid w:val="00A44A93"/>
    <w:rsid w:val="00A454EB"/>
    <w:rsid w:val="00A45532"/>
    <w:rsid w:val="00A46038"/>
    <w:rsid w:val="00A466B6"/>
    <w:rsid w:val="00A46A3B"/>
    <w:rsid w:val="00A477EC"/>
    <w:rsid w:val="00A5040A"/>
    <w:rsid w:val="00A50D6A"/>
    <w:rsid w:val="00A50F56"/>
    <w:rsid w:val="00A50F57"/>
    <w:rsid w:val="00A51A3C"/>
    <w:rsid w:val="00A523C6"/>
    <w:rsid w:val="00A5358F"/>
    <w:rsid w:val="00A535BF"/>
    <w:rsid w:val="00A54670"/>
    <w:rsid w:val="00A54FD0"/>
    <w:rsid w:val="00A5517D"/>
    <w:rsid w:val="00A55ACA"/>
    <w:rsid w:val="00A56BCA"/>
    <w:rsid w:val="00A56FE9"/>
    <w:rsid w:val="00A570B2"/>
    <w:rsid w:val="00A57E5C"/>
    <w:rsid w:val="00A612AD"/>
    <w:rsid w:val="00A61AD2"/>
    <w:rsid w:val="00A629C0"/>
    <w:rsid w:val="00A62D02"/>
    <w:rsid w:val="00A64271"/>
    <w:rsid w:val="00A647F5"/>
    <w:rsid w:val="00A648EF"/>
    <w:rsid w:val="00A6502A"/>
    <w:rsid w:val="00A657E8"/>
    <w:rsid w:val="00A65D50"/>
    <w:rsid w:val="00A65E40"/>
    <w:rsid w:val="00A66D5D"/>
    <w:rsid w:val="00A6731C"/>
    <w:rsid w:val="00A6735E"/>
    <w:rsid w:val="00A7011C"/>
    <w:rsid w:val="00A70399"/>
    <w:rsid w:val="00A71E24"/>
    <w:rsid w:val="00A71E81"/>
    <w:rsid w:val="00A731A7"/>
    <w:rsid w:val="00A737DD"/>
    <w:rsid w:val="00A73EF6"/>
    <w:rsid w:val="00A7416F"/>
    <w:rsid w:val="00A74863"/>
    <w:rsid w:val="00A75A1F"/>
    <w:rsid w:val="00A7612D"/>
    <w:rsid w:val="00A762EC"/>
    <w:rsid w:val="00A76352"/>
    <w:rsid w:val="00A7684A"/>
    <w:rsid w:val="00A76903"/>
    <w:rsid w:val="00A7701C"/>
    <w:rsid w:val="00A778AC"/>
    <w:rsid w:val="00A80334"/>
    <w:rsid w:val="00A80734"/>
    <w:rsid w:val="00A8196E"/>
    <w:rsid w:val="00A81AB8"/>
    <w:rsid w:val="00A822EE"/>
    <w:rsid w:val="00A8237B"/>
    <w:rsid w:val="00A82AAF"/>
    <w:rsid w:val="00A8340E"/>
    <w:rsid w:val="00A83684"/>
    <w:rsid w:val="00A83DE7"/>
    <w:rsid w:val="00A84009"/>
    <w:rsid w:val="00A850BC"/>
    <w:rsid w:val="00A85869"/>
    <w:rsid w:val="00A8588B"/>
    <w:rsid w:val="00A85950"/>
    <w:rsid w:val="00A85ED7"/>
    <w:rsid w:val="00A863F5"/>
    <w:rsid w:val="00A86965"/>
    <w:rsid w:val="00A87883"/>
    <w:rsid w:val="00A90C17"/>
    <w:rsid w:val="00A90F0C"/>
    <w:rsid w:val="00A92318"/>
    <w:rsid w:val="00A92462"/>
    <w:rsid w:val="00A9319F"/>
    <w:rsid w:val="00A933E3"/>
    <w:rsid w:val="00A93449"/>
    <w:rsid w:val="00A9373E"/>
    <w:rsid w:val="00A943BA"/>
    <w:rsid w:val="00A9445C"/>
    <w:rsid w:val="00A95FDD"/>
    <w:rsid w:val="00A964A6"/>
    <w:rsid w:val="00A96843"/>
    <w:rsid w:val="00A96B91"/>
    <w:rsid w:val="00A96F1C"/>
    <w:rsid w:val="00A975F0"/>
    <w:rsid w:val="00A97C35"/>
    <w:rsid w:val="00AA0C73"/>
    <w:rsid w:val="00AA0FF3"/>
    <w:rsid w:val="00AA155F"/>
    <w:rsid w:val="00AA164E"/>
    <w:rsid w:val="00AA1894"/>
    <w:rsid w:val="00AA1CE0"/>
    <w:rsid w:val="00AA2ECA"/>
    <w:rsid w:val="00AA335D"/>
    <w:rsid w:val="00AA3825"/>
    <w:rsid w:val="00AA3E06"/>
    <w:rsid w:val="00AA528E"/>
    <w:rsid w:val="00AA52C0"/>
    <w:rsid w:val="00AA6B14"/>
    <w:rsid w:val="00AA6BD3"/>
    <w:rsid w:val="00AA71A1"/>
    <w:rsid w:val="00AA74C3"/>
    <w:rsid w:val="00AA7B82"/>
    <w:rsid w:val="00AB1079"/>
    <w:rsid w:val="00AB109C"/>
    <w:rsid w:val="00AB11A8"/>
    <w:rsid w:val="00AB146C"/>
    <w:rsid w:val="00AB1BC7"/>
    <w:rsid w:val="00AB20DE"/>
    <w:rsid w:val="00AB21D5"/>
    <w:rsid w:val="00AB2358"/>
    <w:rsid w:val="00AB2391"/>
    <w:rsid w:val="00AB2D53"/>
    <w:rsid w:val="00AB2E2F"/>
    <w:rsid w:val="00AB3FA3"/>
    <w:rsid w:val="00AB40E6"/>
    <w:rsid w:val="00AB4196"/>
    <w:rsid w:val="00AB495E"/>
    <w:rsid w:val="00AB4C3F"/>
    <w:rsid w:val="00AB553E"/>
    <w:rsid w:val="00AB5C06"/>
    <w:rsid w:val="00AB67F1"/>
    <w:rsid w:val="00AB69F9"/>
    <w:rsid w:val="00AB6B01"/>
    <w:rsid w:val="00AB6F89"/>
    <w:rsid w:val="00AB7C01"/>
    <w:rsid w:val="00AC019F"/>
    <w:rsid w:val="00AC1AA4"/>
    <w:rsid w:val="00AC1F1B"/>
    <w:rsid w:val="00AC2E56"/>
    <w:rsid w:val="00AC2E86"/>
    <w:rsid w:val="00AC2F48"/>
    <w:rsid w:val="00AC35A9"/>
    <w:rsid w:val="00AC3823"/>
    <w:rsid w:val="00AC3C66"/>
    <w:rsid w:val="00AC43D5"/>
    <w:rsid w:val="00AC4C82"/>
    <w:rsid w:val="00AC4EBF"/>
    <w:rsid w:val="00AC5022"/>
    <w:rsid w:val="00AC5076"/>
    <w:rsid w:val="00AC550F"/>
    <w:rsid w:val="00AC5A56"/>
    <w:rsid w:val="00AC61E3"/>
    <w:rsid w:val="00AC69E0"/>
    <w:rsid w:val="00AC6F1D"/>
    <w:rsid w:val="00AC6F4C"/>
    <w:rsid w:val="00AC741B"/>
    <w:rsid w:val="00AC787D"/>
    <w:rsid w:val="00AD03E6"/>
    <w:rsid w:val="00AD0AFF"/>
    <w:rsid w:val="00AD0E20"/>
    <w:rsid w:val="00AD1C1A"/>
    <w:rsid w:val="00AD1ED4"/>
    <w:rsid w:val="00AD27F8"/>
    <w:rsid w:val="00AD43E0"/>
    <w:rsid w:val="00AD539A"/>
    <w:rsid w:val="00AD65D9"/>
    <w:rsid w:val="00AD6A58"/>
    <w:rsid w:val="00AD6B8B"/>
    <w:rsid w:val="00AD75A3"/>
    <w:rsid w:val="00AE0C4E"/>
    <w:rsid w:val="00AE0C9A"/>
    <w:rsid w:val="00AE0E8B"/>
    <w:rsid w:val="00AE10F5"/>
    <w:rsid w:val="00AE1F26"/>
    <w:rsid w:val="00AE2035"/>
    <w:rsid w:val="00AE204D"/>
    <w:rsid w:val="00AE2A0D"/>
    <w:rsid w:val="00AE40B4"/>
    <w:rsid w:val="00AE40C9"/>
    <w:rsid w:val="00AE4230"/>
    <w:rsid w:val="00AE42AC"/>
    <w:rsid w:val="00AE4915"/>
    <w:rsid w:val="00AE4FDF"/>
    <w:rsid w:val="00AE56CF"/>
    <w:rsid w:val="00AE6AD8"/>
    <w:rsid w:val="00AE7898"/>
    <w:rsid w:val="00AE7DAA"/>
    <w:rsid w:val="00AE7E8C"/>
    <w:rsid w:val="00AF05DB"/>
    <w:rsid w:val="00AF070F"/>
    <w:rsid w:val="00AF1521"/>
    <w:rsid w:val="00AF1727"/>
    <w:rsid w:val="00AF29BE"/>
    <w:rsid w:val="00AF2ABC"/>
    <w:rsid w:val="00AF388F"/>
    <w:rsid w:val="00AF43CC"/>
    <w:rsid w:val="00AF4404"/>
    <w:rsid w:val="00AF440A"/>
    <w:rsid w:val="00AF4B47"/>
    <w:rsid w:val="00AF58ED"/>
    <w:rsid w:val="00AF5DB5"/>
    <w:rsid w:val="00AF5E84"/>
    <w:rsid w:val="00AF6465"/>
    <w:rsid w:val="00AF6466"/>
    <w:rsid w:val="00AF756A"/>
    <w:rsid w:val="00AF7703"/>
    <w:rsid w:val="00AF7F50"/>
    <w:rsid w:val="00B00076"/>
    <w:rsid w:val="00B00614"/>
    <w:rsid w:val="00B00E72"/>
    <w:rsid w:val="00B01012"/>
    <w:rsid w:val="00B01106"/>
    <w:rsid w:val="00B0117A"/>
    <w:rsid w:val="00B01965"/>
    <w:rsid w:val="00B01CA9"/>
    <w:rsid w:val="00B02AFD"/>
    <w:rsid w:val="00B03635"/>
    <w:rsid w:val="00B039B0"/>
    <w:rsid w:val="00B04C2B"/>
    <w:rsid w:val="00B058B7"/>
    <w:rsid w:val="00B06B63"/>
    <w:rsid w:val="00B07505"/>
    <w:rsid w:val="00B112B5"/>
    <w:rsid w:val="00B119E8"/>
    <w:rsid w:val="00B11E0D"/>
    <w:rsid w:val="00B12093"/>
    <w:rsid w:val="00B12574"/>
    <w:rsid w:val="00B1280F"/>
    <w:rsid w:val="00B13261"/>
    <w:rsid w:val="00B134CC"/>
    <w:rsid w:val="00B134F1"/>
    <w:rsid w:val="00B14121"/>
    <w:rsid w:val="00B14797"/>
    <w:rsid w:val="00B147B2"/>
    <w:rsid w:val="00B14F32"/>
    <w:rsid w:val="00B1536F"/>
    <w:rsid w:val="00B1547E"/>
    <w:rsid w:val="00B15609"/>
    <w:rsid w:val="00B15E22"/>
    <w:rsid w:val="00B16F7A"/>
    <w:rsid w:val="00B174DA"/>
    <w:rsid w:val="00B17828"/>
    <w:rsid w:val="00B20A40"/>
    <w:rsid w:val="00B20D93"/>
    <w:rsid w:val="00B20FA1"/>
    <w:rsid w:val="00B211D5"/>
    <w:rsid w:val="00B2275F"/>
    <w:rsid w:val="00B22B86"/>
    <w:rsid w:val="00B238A6"/>
    <w:rsid w:val="00B23B62"/>
    <w:rsid w:val="00B2567D"/>
    <w:rsid w:val="00B2569C"/>
    <w:rsid w:val="00B26056"/>
    <w:rsid w:val="00B261E3"/>
    <w:rsid w:val="00B2632E"/>
    <w:rsid w:val="00B26A78"/>
    <w:rsid w:val="00B27273"/>
    <w:rsid w:val="00B303EC"/>
    <w:rsid w:val="00B30A94"/>
    <w:rsid w:val="00B318A8"/>
    <w:rsid w:val="00B319C9"/>
    <w:rsid w:val="00B31A4E"/>
    <w:rsid w:val="00B33091"/>
    <w:rsid w:val="00B33196"/>
    <w:rsid w:val="00B335D1"/>
    <w:rsid w:val="00B3384E"/>
    <w:rsid w:val="00B34A5E"/>
    <w:rsid w:val="00B352E1"/>
    <w:rsid w:val="00B35348"/>
    <w:rsid w:val="00B355CF"/>
    <w:rsid w:val="00B35C74"/>
    <w:rsid w:val="00B36139"/>
    <w:rsid w:val="00B364B6"/>
    <w:rsid w:val="00B36B61"/>
    <w:rsid w:val="00B379AB"/>
    <w:rsid w:val="00B37E61"/>
    <w:rsid w:val="00B400DA"/>
    <w:rsid w:val="00B405B6"/>
    <w:rsid w:val="00B40716"/>
    <w:rsid w:val="00B40A40"/>
    <w:rsid w:val="00B411D0"/>
    <w:rsid w:val="00B411E9"/>
    <w:rsid w:val="00B41BB0"/>
    <w:rsid w:val="00B42A01"/>
    <w:rsid w:val="00B42E61"/>
    <w:rsid w:val="00B42FF2"/>
    <w:rsid w:val="00B451DF"/>
    <w:rsid w:val="00B45A00"/>
    <w:rsid w:val="00B4633D"/>
    <w:rsid w:val="00B46E48"/>
    <w:rsid w:val="00B470A1"/>
    <w:rsid w:val="00B500D1"/>
    <w:rsid w:val="00B5026E"/>
    <w:rsid w:val="00B50535"/>
    <w:rsid w:val="00B50CEE"/>
    <w:rsid w:val="00B511F2"/>
    <w:rsid w:val="00B512C1"/>
    <w:rsid w:val="00B51B47"/>
    <w:rsid w:val="00B51D33"/>
    <w:rsid w:val="00B5278B"/>
    <w:rsid w:val="00B52F0E"/>
    <w:rsid w:val="00B53E4B"/>
    <w:rsid w:val="00B54851"/>
    <w:rsid w:val="00B552E0"/>
    <w:rsid w:val="00B55421"/>
    <w:rsid w:val="00B55D7F"/>
    <w:rsid w:val="00B56628"/>
    <w:rsid w:val="00B566AF"/>
    <w:rsid w:val="00B569AE"/>
    <w:rsid w:val="00B56FA0"/>
    <w:rsid w:val="00B605D6"/>
    <w:rsid w:val="00B608E7"/>
    <w:rsid w:val="00B6123D"/>
    <w:rsid w:val="00B6154F"/>
    <w:rsid w:val="00B61680"/>
    <w:rsid w:val="00B6258A"/>
    <w:rsid w:val="00B62FCB"/>
    <w:rsid w:val="00B63B6F"/>
    <w:rsid w:val="00B63CA0"/>
    <w:rsid w:val="00B64737"/>
    <w:rsid w:val="00B66091"/>
    <w:rsid w:val="00B66484"/>
    <w:rsid w:val="00B67100"/>
    <w:rsid w:val="00B7034B"/>
    <w:rsid w:val="00B706F7"/>
    <w:rsid w:val="00B70BC5"/>
    <w:rsid w:val="00B70E12"/>
    <w:rsid w:val="00B71066"/>
    <w:rsid w:val="00B71233"/>
    <w:rsid w:val="00B71BA4"/>
    <w:rsid w:val="00B73355"/>
    <w:rsid w:val="00B73896"/>
    <w:rsid w:val="00B738B1"/>
    <w:rsid w:val="00B73F52"/>
    <w:rsid w:val="00B74495"/>
    <w:rsid w:val="00B75162"/>
    <w:rsid w:val="00B760E7"/>
    <w:rsid w:val="00B767D4"/>
    <w:rsid w:val="00B77376"/>
    <w:rsid w:val="00B7741B"/>
    <w:rsid w:val="00B8002F"/>
    <w:rsid w:val="00B80327"/>
    <w:rsid w:val="00B8061F"/>
    <w:rsid w:val="00B8088F"/>
    <w:rsid w:val="00B81A53"/>
    <w:rsid w:val="00B8262B"/>
    <w:rsid w:val="00B82DA4"/>
    <w:rsid w:val="00B82E87"/>
    <w:rsid w:val="00B83DFD"/>
    <w:rsid w:val="00B83F09"/>
    <w:rsid w:val="00B84163"/>
    <w:rsid w:val="00B84D06"/>
    <w:rsid w:val="00B855BE"/>
    <w:rsid w:val="00B8572E"/>
    <w:rsid w:val="00B8610F"/>
    <w:rsid w:val="00B875FF"/>
    <w:rsid w:val="00B87669"/>
    <w:rsid w:val="00B87B40"/>
    <w:rsid w:val="00B87C87"/>
    <w:rsid w:val="00B90097"/>
    <w:rsid w:val="00B902BA"/>
    <w:rsid w:val="00B90AEE"/>
    <w:rsid w:val="00B9196A"/>
    <w:rsid w:val="00B9325D"/>
    <w:rsid w:val="00B937EB"/>
    <w:rsid w:val="00B93834"/>
    <w:rsid w:val="00B940D5"/>
    <w:rsid w:val="00B9591C"/>
    <w:rsid w:val="00B95B01"/>
    <w:rsid w:val="00B962AB"/>
    <w:rsid w:val="00B96A57"/>
    <w:rsid w:val="00B96B9E"/>
    <w:rsid w:val="00B96EE0"/>
    <w:rsid w:val="00B97602"/>
    <w:rsid w:val="00BA0C8C"/>
    <w:rsid w:val="00BA0DB7"/>
    <w:rsid w:val="00BA1528"/>
    <w:rsid w:val="00BA1531"/>
    <w:rsid w:val="00BA1A38"/>
    <w:rsid w:val="00BA1BB0"/>
    <w:rsid w:val="00BA1D50"/>
    <w:rsid w:val="00BA2825"/>
    <w:rsid w:val="00BA2FF9"/>
    <w:rsid w:val="00BA2FFA"/>
    <w:rsid w:val="00BA40E5"/>
    <w:rsid w:val="00BA42F1"/>
    <w:rsid w:val="00BA47A4"/>
    <w:rsid w:val="00BA5198"/>
    <w:rsid w:val="00BA5655"/>
    <w:rsid w:val="00BA5995"/>
    <w:rsid w:val="00BA627D"/>
    <w:rsid w:val="00BA6C5D"/>
    <w:rsid w:val="00BA719A"/>
    <w:rsid w:val="00BA71F5"/>
    <w:rsid w:val="00BB0232"/>
    <w:rsid w:val="00BB0694"/>
    <w:rsid w:val="00BB29F8"/>
    <w:rsid w:val="00BB31C1"/>
    <w:rsid w:val="00BB386D"/>
    <w:rsid w:val="00BB49C8"/>
    <w:rsid w:val="00BB582C"/>
    <w:rsid w:val="00BB59C5"/>
    <w:rsid w:val="00BB59CC"/>
    <w:rsid w:val="00BB5C20"/>
    <w:rsid w:val="00BB5F08"/>
    <w:rsid w:val="00BB6687"/>
    <w:rsid w:val="00BB6731"/>
    <w:rsid w:val="00BB673A"/>
    <w:rsid w:val="00BB7058"/>
    <w:rsid w:val="00BB7FBB"/>
    <w:rsid w:val="00BC0512"/>
    <w:rsid w:val="00BC098F"/>
    <w:rsid w:val="00BC150B"/>
    <w:rsid w:val="00BC1607"/>
    <w:rsid w:val="00BC27CF"/>
    <w:rsid w:val="00BC2B63"/>
    <w:rsid w:val="00BC30B9"/>
    <w:rsid w:val="00BC3F96"/>
    <w:rsid w:val="00BC5681"/>
    <w:rsid w:val="00BC59FF"/>
    <w:rsid w:val="00BC5DEF"/>
    <w:rsid w:val="00BC5FB7"/>
    <w:rsid w:val="00BC62E0"/>
    <w:rsid w:val="00BC6980"/>
    <w:rsid w:val="00BC6C6F"/>
    <w:rsid w:val="00BD1292"/>
    <w:rsid w:val="00BD2A8B"/>
    <w:rsid w:val="00BD3CEA"/>
    <w:rsid w:val="00BD44EA"/>
    <w:rsid w:val="00BD4742"/>
    <w:rsid w:val="00BD4827"/>
    <w:rsid w:val="00BD482D"/>
    <w:rsid w:val="00BD4D1C"/>
    <w:rsid w:val="00BD5041"/>
    <w:rsid w:val="00BD514E"/>
    <w:rsid w:val="00BD65C5"/>
    <w:rsid w:val="00BD65C8"/>
    <w:rsid w:val="00BD6FB5"/>
    <w:rsid w:val="00BD7603"/>
    <w:rsid w:val="00BE01E0"/>
    <w:rsid w:val="00BE043C"/>
    <w:rsid w:val="00BE049B"/>
    <w:rsid w:val="00BE07F9"/>
    <w:rsid w:val="00BE096E"/>
    <w:rsid w:val="00BE1007"/>
    <w:rsid w:val="00BE11C6"/>
    <w:rsid w:val="00BE1528"/>
    <w:rsid w:val="00BE241E"/>
    <w:rsid w:val="00BE2BA3"/>
    <w:rsid w:val="00BE3CE6"/>
    <w:rsid w:val="00BE46C1"/>
    <w:rsid w:val="00BE50B8"/>
    <w:rsid w:val="00BE5665"/>
    <w:rsid w:val="00BE5798"/>
    <w:rsid w:val="00BE62AC"/>
    <w:rsid w:val="00BE6786"/>
    <w:rsid w:val="00BF05D1"/>
    <w:rsid w:val="00BF143E"/>
    <w:rsid w:val="00BF25F5"/>
    <w:rsid w:val="00BF2E71"/>
    <w:rsid w:val="00BF34D2"/>
    <w:rsid w:val="00BF34FE"/>
    <w:rsid w:val="00BF350B"/>
    <w:rsid w:val="00BF42FB"/>
    <w:rsid w:val="00BF4555"/>
    <w:rsid w:val="00BF486B"/>
    <w:rsid w:val="00BF5018"/>
    <w:rsid w:val="00BF5967"/>
    <w:rsid w:val="00BF5F05"/>
    <w:rsid w:val="00BF608B"/>
    <w:rsid w:val="00BF67FB"/>
    <w:rsid w:val="00BF6B0D"/>
    <w:rsid w:val="00BF716D"/>
    <w:rsid w:val="00BF7B5D"/>
    <w:rsid w:val="00C00084"/>
    <w:rsid w:val="00C003C1"/>
    <w:rsid w:val="00C0052E"/>
    <w:rsid w:val="00C01459"/>
    <w:rsid w:val="00C01788"/>
    <w:rsid w:val="00C02A91"/>
    <w:rsid w:val="00C02D07"/>
    <w:rsid w:val="00C02D08"/>
    <w:rsid w:val="00C051A3"/>
    <w:rsid w:val="00C0611C"/>
    <w:rsid w:val="00C06C84"/>
    <w:rsid w:val="00C1000B"/>
    <w:rsid w:val="00C1034F"/>
    <w:rsid w:val="00C104AC"/>
    <w:rsid w:val="00C104D8"/>
    <w:rsid w:val="00C10649"/>
    <w:rsid w:val="00C11522"/>
    <w:rsid w:val="00C115E6"/>
    <w:rsid w:val="00C116BE"/>
    <w:rsid w:val="00C11A46"/>
    <w:rsid w:val="00C11C61"/>
    <w:rsid w:val="00C1230F"/>
    <w:rsid w:val="00C12446"/>
    <w:rsid w:val="00C151DE"/>
    <w:rsid w:val="00C1558B"/>
    <w:rsid w:val="00C1664E"/>
    <w:rsid w:val="00C16B64"/>
    <w:rsid w:val="00C17368"/>
    <w:rsid w:val="00C203F7"/>
    <w:rsid w:val="00C209D0"/>
    <w:rsid w:val="00C20C5D"/>
    <w:rsid w:val="00C2155E"/>
    <w:rsid w:val="00C21785"/>
    <w:rsid w:val="00C21E3D"/>
    <w:rsid w:val="00C22606"/>
    <w:rsid w:val="00C228E2"/>
    <w:rsid w:val="00C23901"/>
    <w:rsid w:val="00C23ACD"/>
    <w:rsid w:val="00C24780"/>
    <w:rsid w:val="00C25772"/>
    <w:rsid w:val="00C267E0"/>
    <w:rsid w:val="00C26804"/>
    <w:rsid w:val="00C2728B"/>
    <w:rsid w:val="00C279AD"/>
    <w:rsid w:val="00C305BE"/>
    <w:rsid w:val="00C30761"/>
    <w:rsid w:val="00C31243"/>
    <w:rsid w:val="00C31CB7"/>
    <w:rsid w:val="00C3200E"/>
    <w:rsid w:val="00C32387"/>
    <w:rsid w:val="00C324D5"/>
    <w:rsid w:val="00C32F59"/>
    <w:rsid w:val="00C3375C"/>
    <w:rsid w:val="00C352B8"/>
    <w:rsid w:val="00C3546F"/>
    <w:rsid w:val="00C3552D"/>
    <w:rsid w:val="00C35985"/>
    <w:rsid w:val="00C35C1E"/>
    <w:rsid w:val="00C35DF9"/>
    <w:rsid w:val="00C36116"/>
    <w:rsid w:val="00C36824"/>
    <w:rsid w:val="00C369D9"/>
    <w:rsid w:val="00C36C96"/>
    <w:rsid w:val="00C37065"/>
    <w:rsid w:val="00C371B7"/>
    <w:rsid w:val="00C406DC"/>
    <w:rsid w:val="00C407C1"/>
    <w:rsid w:val="00C417EC"/>
    <w:rsid w:val="00C419EB"/>
    <w:rsid w:val="00C4304F"/>
    <w:rsid w:val="00C441CE"/>
    <w:rsid w:val="00C44EF9"/>
    <w:rsid w:val="00C44FC5"/>
    <w:rsid w:val="00C452DA"/>
    <w:rsid w:val="00C46FB2"/>
    <w:rsid w:val="00C502BD"/>
    <w:rsid w:val="00C51B0E"/>
    <w:rsid w:val="00C5327F"/>
    <w:rsid w:val="00C5345B"/>
    <w:rsid w:val="00C54847"/>
    <w:rsid w:val="00C5496F"/>
    <w:rsid w:val="00C54B06"/>
    <w:rsid w:val="00C553D4"/>
    <w:rsid w:val="00C557EB"/>
    <w:rsid w:val="00C559E8"/>
    <w:rsid w:val="00C55D80"/>
    <w:rsid w:val="00C55DFC"/>
    <w:rsid w:val="00C56013"/>
    <w:rsid w:val="00C604BA"/>
    <w:rsid w:val="00C60AE1"/>
    <w:rsid w:val="00C6351E"/>
    <w:rsid w:val="00C63859"/>
    <w:rsid w:val="00C64009"/>
    <w:rsid w:val="00C64464"/>
    <w:rsid w:val="00C645C1"/>
    <w:rsid w:val="00C64B7B"/>
    <w:rsid w:val="00C64EE7"/>
    <w:rsid w:val="00C655AF"/>
    <w:rsid w:val="00C6616E"/>
    <w:rsid w:val="00C6666B"/>
    <w:rsid w:val="00C67C42"/>
    <w:rsid w:val="00C70315"/>
    <w:rsid w:val="00C70823"/>
    <w:rsid w:val="00C708B7"/>
    <w:rsid w:val="00C71218"/>
    <w:rsid w:val="00C71D24"/>
    <w:rsid w:val="00C720EE"/>
    <w:rsid w:val="00C73694"/>
    <w:rsid w:val="00C74714"/>
    <w:rsid w:val="00C747B2"/>
    <w:rsid w:val="00C74AC9"/>
    <w:rsid w:val="00C75B2A"/>
    <w:rsid w:val="00C80258"/>
    <w:rsid w:val="00C802E5"/>
    <w:rsid w:val="00C8074F"/>
    <w:rsid w:val="00C8132B"/>
    <w:rsid w:val="00C8172C"/>
    <w:rsid w:val="00C8627A"/>
    <w:rsid w:val="00C86B7A"/>
    <w:rsid w:val="00C86E5D"/>
    <w:rsid w:val="00C8736B"/>
    <w:rsid w:val="00C90014"/>
    <w:rsid w:val="00C903B8"/>
    <w:rsid w:val="00C90E8F"/>
    <w:rsid w:val="00C91873"/>
    <w:rsid w:val="00C91CD7"/>
    <w:rsid w:val="00C91E58"/>
    <w:rsid w:val="00C925FB"/>
    <w:rsid w:val="00C9279B"/>
    <w:rsid w:val="00C92AA2"/>
    <w:rsid w:val="00C92C27"/>
    <w:rsid w:val="00C939F6"/>
    <w:rsid w:val="00C93ED3"/>
    <w:rsid w:val="00C941AE"/>
    <w:rsid w:val="00C94991"/>
    <w:rsid w:val="00C94B98"/>
    <w:rsid w:val="00C95149"/>
    <w:rsid w:val="00C95723"/>
    <w:rsid w:val="00C9629B"/>
    <w:rsid w:val="00C97C2D"/>
    <w:rsid w:val="00CA0184"/>
    <w:rsid w:val="00CA01DE"/>
    <w:rsid w:val="00CA0A53"/>
    <w:rsid w:val="00CA1119"/>
    <w:rsid w:val="00CA283F"/>
    <w:rsid w:val="00CA2C89"/>
    <w:rsid w:val="00CA3715"/>
    <w:rsid w:val="00CA4002"/>
    <w:rsid w:val="00CA52D5"/>
    <w:rsid w:val="00CA561D"/>
    <w:rsid w:val="00CA5EAD"/>
    <w:rsid w:val="00CA67B3"/>
    <w:rsid w:val="00CA7392"/>
    <w:rsid w:val="00CA7B30"/>
    <w:rsid w:val="00CB186D"/>
    <w:rsid w:val="00CB1B17"/>
    <w:rsid w:val="00CB2835"/>
    <w:rsid w:val="00CB30D6"/>
    <w:rsid w:val="00CB41C8"/>
    <w:rsid w:val="00CB597E"/>
    <w:rsid w:val="00CB5AD0"/>
    <w:rsid w:val="00CB634E"/>
    <w:rsid w:val="00CB6574"/>
    <w:rsid w:val="00CB6EE2"/>
    <w:rsid w:val="00CB7728"/>
    <w:rsid w:val="00CB7E76"/>
    <w:rsid w:val="00CC00DA"/>
    <w:rsid w:val="00CC0548"/>
    <w:rsid w:val="00CC0776"/>
    <w:rsid w:val="00CC0B8D"/>
    <w:rsid w:val="00CC0FA2"/>
    <w:rsid w:val="00CC10DC"/>
    <w:rsid w:val="00CC16DF"/>
    <w:rsid w:val="00CC28AE"/>
    <w:rsid w:val="00CC29B2"/>
    <w:rsid w:val="00CC2C76"/>
    <w:rsid w:val="00CC3620"/>
    <w:rsid w:val="00CC4458"/>
    <w:rsid w:val="00CC4D22"/>
    <w:rsid w:val="00CC4F58"/>
    <w:rsid w:val="00CC5016"/>
    <w:rsid w:val="00CC5686"/>
    <w:rsid w:val="00CC57EB"/>
    <w:rsid w:val="00CC5905"/>
    <w:rsid w:val="00CC5BE7"/>
    <w:rsid w:val="00CC625D"/>
    <w:rsid w:val="00CC68FD"/>
    <w:rsid w:val="00CC7560"/>
    <w:rsid w:val="00CC7AB4"/>
    <w:rsid w:val="00CD001B"/>
    <w:rsid w:val="00CD0783"/>
    <w:rsid w:val="00CD1AA6"/>
    <w:rsid w:val="00CD3E88"/>
    <w:rsid w:val="00CD4162"/>
    <w:rsid w:val="00CD517A"/>
    <w:rsid w:val="00CD546A"/>
    <w:rsid w:val="00CD5476"/>
    <w:rsid w:val="00CD5B51"/>
    <w:rsid w:val="00CD7240"/>
    <w:rsid w:val="00CD7ADD"/>
    <w:rsid w:val="00CD7E63"/>
    <w:rsid w:val="00CD7F43"/>
    <w:rsid w:val="00CE02E1"/>
    <w:rsid w:val="00CE08F0"/>
    <w:rsid w:val="00CE0FDC"/>
    <w:rsid w:val="00CE131D"/>
    <w:rsid w:val="00CE1CA7"/>
    <w:rsid w:val="00CE2350"/>
    <w:rsid w:val="00CE2491"/>
    <w:rsid w:val="00CE269A"/>
    <w:rsid w:val="00CE27D1"/>
    <w:rsid w:val="00CE2B02"/>
    <w:rsid w:val="00CE3234"/>
    <w:rsid w:val="00CE3461"/>
    <w:rsid w:val="00CE5311"/>
    <w:rsid w:val="00CE5AD9"/>
    <w:rsid w:val="00CE742C"/>
    <w:rsid w:val="00CE78D0"/>
    <w:rsid w:val="00CF014A"/>
    <w:rsid w:val="00CF0C2E"/>
    <w:rsid w:val="00CF15D2"/>
    <w:rsid w:val="00CF1852"/>
    <w:rsid w:val="00CF24AF"/>
    <w:rsid w:val="00CF337E"/>
    <w:rsid w:val="00CF4D40"/>
    <w:rsid w:val="00CF5069"/>
    <w:rsid w:val="00CF531F"/>
    <w:rsid w:val="00CF5D8F"/>
    <w:rsid w:val="00CF5F1D"/>
    <w:rsid w:val="00CF6005"/>
    <w:rsid w:val="00CF6708"/>
    <w:rsid w:val="00D01435"/>
    <w:rsid w:val="00D01F5F"/>
    <w:rsid w:val="00D01FB4"/>
    <w:rsid w:val="00D02CEB"/>
    <w:rsid w:val="00D0327A"/>
    <w:rsid w:val="00D04A76"/>
    <w:rsid w:val="00D04C7E"/>
    <w:rsid w:val="00D05119"/>
    <w:rsid w:val="00D05D77"/>
    <w:rsid w:val="00D0672A"/>
    <w:rsid w:val="00D06A57"/>
    <w:rsid w:val="00D06B3F"/>
    <w:rsid w:val="00D0717D"/>
    <w:rsid w:val="00D073EF"/>
    <w:rsid w:val="00D07A79"/>
    <w:rsid w:val="00D07AC6"/>
    <w:rsid w:val="00D11BF9"/>
    <w:rsid w:val="00D11CAC"/>
    <w:rsid w:val="00D13771"/>
    <w:rsid w:val="00D14BD4"/>
    <w:rsid w:val="00D14FC0"/>
    <w:rsid w:val="00D152D9"/>
    <w:rsid w:val="00D15CC1"/>
    <w:rsid w:val="00D17B87"/>
    <w:rsid w:val="00D2127A"/>
    <w:rsid w:val="00D21E57"/>
    <w:rsid w:val="00D2244C"/>
    <w:rsid w:val="00D2357E"/>
    <w:rsid w:val="00D2363D"/>
    <w:rsid w:val="00D24B0E"/>
    <w:rsid w:val="00D25AFA"/>
    <w:rsid w:val="00D26737"/>
    <w:rsid w:val="00D273B9"/>
    <w:rsid w:val="00D32CDE"/>
    <w:rsid w:val="00D335E0"/>
    <w:rsid w:val="00D33E09"/>
    <w:rsid w:val="00D34E2B"/>
    <w:rsid w:val="00D3571D"/>
    <w:rsid w:val="00D35A3B"/>
    <w:rsid w:val="00D35B0E"/>
    <w:rsid w:val="00D35CD7"/>
    <w:rsid w:val="00D3641A"/>
    <w:rsid w:val="00D37C56"/>
    <w:rsid w:val="00D37CF7"/>
    <w:rsid w:val="00D406C5"/>
    <w:rsid w:val="00D4082B"/>
    <w:rsid w:val="00D40B51"/>
    <w:rsid w:val="00D41002"/>
    <w:rsid w:val="00D410BF"/>
    <w:rsid w:val="00D4543E"/>
    <w:rsid w:val="00D45C8A"/>
    <w:rsid w:val="00D4648F"/>
    <w:rsid w:val="00D465BF"/>
    <w:rsid w:val="00D4727A"/>
    <w:rsid w:val="00D472EF"/>
    <w:rsid w:val="00D47672"/>
    <w:rsid w:val="00D47D80"/>
    <w:rsid w:val="00D47F49"/>
    <w:rsid w:val="00D47F64"/>
    <w:rsid w:val="00D5114E"/>
    <w:rsid w:val="00D51212"/>
    <w:rsid w:val="00D5125D"/>
    <w:rsid w:val="00D512D3"/>
    <w:rsid w:val="00D5157F"/>
    <w:rsid w:val="00D52146"/>
    <w:rsid w:val="00D52A0A"/>
    <w:rsid w:val="00D52D59"/>
    <w:rsid w:val="00D53F71"/>
    <w:rsid w:val="00D5427A"/>
    <w:rsid w:val="00D5576C"/>
    <w:rsid w:val="00D565B6"/>
    <w:rsid w:val="00D56901"/>
    <w:rsid w:val="00D56C04"/>
    <w:rsid w:val="00D60646"/>
    <w:rsid w:val="00D608DB"/>
    <w:rsid w:val="00D60E34"/>
    <w:rsid w:val="00D6112F"/>
    <w:rsid w:val="00D6205C"/>
    <w:rsid w:val="00D62258"/>
    <w:rsid w:val="00D6272F"/>
    <w:rsid w:val="00D65226"/>
    <w:rsid w:val="00D654AC"/>
    <w:rsid w:val="00D661ED"/>
    <w:rsid w:val="00D66FF7"/>
    <w:rsid w:val="00D679BF"/>
    <w:rsid w:val="00D67A12"/>
    <w:rsid w:val="00D700E6"/>
    <w:rsid w:val="00D70742"/>
    <w:rsid w:val="00D70EA1"/>
    <w:rsid w:val="00D70FE3"/>
    <w:rsid w:val="00D71394"/>
    <w:rsid w:val="00D716FF"/>
    <w:rsid w:val="00D72426"/>
    <w:rsid w:val="00D72432"/>
    <w:rsid w:val="00D72482"/>
    <w:rsid w:val="00D72776"/>
    <w:rsid w:val="00D72DEE"/>
    <w:rsid w:val="00D72E76"/>
    <w:rsid w:val="00D733D9"/>
    <w:rsid w:val="00D735A1"/>
    <w:rsid w:val="00D747AD"/>
    <w:rsid w:val="00D7517A"/>
    <w:rsid w:val="00D7646F"/>
    <w:rsid w:val="00D7798B"/>
    <w:rsid w:val="00D802C4"/>
    <w:rsid w:val="00D81075"/>
    <w:rsid w:val="00D8134E"/>
    <w:rsid w:val="00D81428"/>
    <w:rsid w:val="00D81A52"/>
    <w:rsid w:val="00D81C8B"/>
    <w:rsid w:val="00D81DC7"/>
    <w:rsid w:val="00D81FAB"/>
    <w:rsid w:val="00D82138"/>
    <w:rsid w:val="00D8242F"/>
    <w:rsid w:val="00D8277E"/>
    <w:rsid w:val="00D83069"/>
    <w:rsid w:val="00D83722"/>
    <w:rsid w:val="00D83F97"/>
    <w:rsid w:val="00D8460E"/>
    <w:rsid w:val="00D84D7B"/>
    <w:rsid w:val="00D85AC7"/>
    <w:rsid w:val="00D85BED"/>
    <w:rsid w:val="00D8639F"/>
    <w:rsid w:val="00D87B93"/>
    <w:rsid w:val="00D902C2"/>
    <w:rsid w:val="00D90473"/>
    <w:rsid w:val="00D91569"/>
    <w:rsid w:val="00D91702"/>
    <w:rsid w:val="00D91A1F"/>
    <w:rsid w:val="00D922EF"/>
    <w:rsid w:val="00D92EDA"/>
    <w:rsid w:val="00D93A72"/>
    <w:rsid w:val="00D941D2"/>
    <w:rsid w:val="00D94B62"/>
    <w:rsid w:val="00D95061"/>
    <w:rsid w:val="00D96581"/>
    <w:rsid w:val="00D976B1"/>
    <w:rsid w:val="00D97793"/>
    <w:rsid w:val="00DA1003"/>
    <w:rsid w:val="00DA10CC"/>
    <w:rsid w:val="00DA21F3"/>
    <w:rsid w:val="00DA2847"/>
    <w:rsid w:val="00DA2CAD"/>
    <w:rsid w:val="00DA3556"/>
    <w:rsid w:val="00DA3A7C"/>
    <w:rsid w:val="00DA48E8"/>
    <w:rsid w:val="00DA4904"/>
    <w:rsid w:val="00DA4CA0"/>
    <w:rsid w:val="00DA52A9"/>
    <w:rsid w:val="00DA5BDF"/>
    <w:rsid w:val="00DA68CF"/>
    <w:rsid w:val="00DA6F7E"/>
    <w:rsid w:val="00DA6F80"/>
    <w:rsid w:val="00DB1A3F"/>
    <w:rsid w:val="00DB258C"/>
    <w:rsid w:val="00DB36CC"/>
    <w:rsid w:val="00DB4193"/>
    <w:rsid w:val="00DB4223"/>
    <w:rsid w:val="00DB4452"/>
    <w:rsid w:val="00DB48BC"/>
    <w:rsid w:val="00DB5DB8"/>
    <w:rsid w:val="00DB5F9F"/>
    <w:rsid w:val="00DB6100"/>
    <w:rsid w:val="00DB6537"/>
    <w:rsid w:val="00DB682F"/>
    <w:rsid w:val="00DB6BB1"/>
    <w:rsid w:val="00DB6C50"/>
    <w:rsid w:val="00DB6D07"/>
    <w:rsid w:val="00DB71D1"/>
    <w:rsid w:val="00DB7292"/>
    <w:rsid w:val="00DB76A5"/>
    <w:rsid w:val="00DB76C5"/>
    <w:rsid w:val="00DC0320"/>
    <w:rsid w:val="00DC0450"/>
    <w:rsid w:val="00DC0919"/>
    <w:rsid w:val="00DC0A6B"/>
    <w:rsid w:val="00DC0E9C"/>
    <w:rsid w:val="00DC1CED"/>
    <w:rsid w:val="00DC1FFD"/>
    <w:rsid w:val="00DC2875"/>
    <w:rsid w:val="00DC301C"/>
    <w:rsid w:val="00DC3F24"/>
    <w:rsid w:val="00DC3F84"/>
    <w:rsid w:val="00DC3F9F"/>
    <w:rsid w:val="00DC5874"/>
    <w:rsid w:val="00DC7958"/>
    <w:rsid w:val="00DC79ED"/>
    <w:rsid w:val="00DD14B1"/>
    <w:rsid w:val="00DD1BCF"/>
    <w:rsid w:val="00DD1C71"/>
    <w:rsid w:val="00DD2E27"/>
    <w:rsid w:val="00DD375E"/>
    <w:rsid w:val="00DD547A"/>
    <w:rsid w:val="00DD597F"/>
    <w:rsid w:val="00DD604E"/>
    <w:rsid w:val="00DD6171"/>
    <w:rsid w:val="00DD6500"/>
    <w:rsid w:val="00DD7077"/>
    <w:rsid w:val="00DD7A81"/>
    <w:rsid w:val="00DE0789"/>
    <w:rsid w:val="00DE081D"/>
    <w:rsid w:val="00DE16AF"/>
    <w:rsid w:val="00DE16E4"/>
    <w:rsid w:val="00DE2544"/>
    <w:rsid w:val="00DE2E1E"/>
    <w:rsid w:val="00DE2F5B"/>
    <w:rsid w:val="00DE536A"/>
    <w:rsid w:val="00DE53FC"/>
    <w:rsid w:val="00DE56EB"/>
    <w:rsid w:val="00DE5BFD"/>
    <w:rsid w:val="00DE6F55"/>
    <w:rsid w:val="00DF0983"/>
    <w:rsid w:val="00DF1433"/>
    <w:rsid w:val="00DF1588"/>
    <w:rsid w:val="00DF15DD"/>
    <w:rsid w:val="00DF1764"/>
    <w:rsid w:val="00DF1BE4"/>
    <w:rsid w:val="00DF1F96"/>
    <w:rsid w:val="00DF2BE9"/>
    <w:rsid w:val="00DF2F80"/>
    <w:rsid w:val="00DF348E"/>
    <w:rsid w:val="00DF35BA"/>
    <w:rsid w:val="00DF3A2D"/>
    <w:rsid w:val="00DF40FE"/>
    <w:rsid w:val="00DF4976"/>
    <w:rsid w:val="00DF4C0C"/>
    <w:rsid w:val="00DF5B7B"/>
    <w:rsid w:val="00DF643F"/>
    <w:rsid w:val="00DF64A6"/>
    <w:rsid w:val="00DF6A4F"/>
    <w:rsid w:val="00DF6AB4"/>
    <w:rsid w:val="00DF789B"/>
    <w:rsid w:val="00DF7A1D"/>
    <w:rsid w:val="00DF7A6D"/>
    <w:rsid w:val="00E01FE1"/>
    <w:rsid w:val="00E0205B"/>
    <w:rsid w:val="00E020C4"/>
    <w:rsid w:val="00E02320"/>
    <w:rsid w:val="00E042CE"/>
    <w:rsid w:val="00E04A49"/>
    <w:rsid w:val="00E05BC1"/>
    <w:rsid w:val="00E05D99"/>
    <w:rsid w:val="00E0628B"/>
    <w:rsid w:val="00E0676B"/>
    <w:rsid w:val="00E06AD6"/>
    <w:rsid w:val="00E06C90"/>
    <w:rsid w:val="00E07088"/>
    <w:rsid w:val="00E0728D"/>
    <w:rsid w:val="00E07374"/>
    <w:rsid w:val="00E07A10"/>
    <w:rsid w:val="00E07B54"/>
    <w:rsid w:val="00E10B24"/>
    <w:rsid w:val="00E10E1B"/>
    <w:rsid w:val="00E111F8"/>
    <w:rsid w:val="00E11A4D"/>
    <w:rsid w:val="00E11AAC"/>
    <w:rsid w:val="00E11CD5"/>
    <w:rsid w:val="00E11E0D"/>
    <w:rsid w:val="00E11F75"/>
    <w:rsid w:val="00E13858"/>
    <w:rsid w:val="00E14293"/>
    <w:rsid w:val="00E14989"/>
    <w:rsid w:val="00E14EF8"/>
    <w:rsid w:val="00E15164"/>
    <w:rsid w:val="00E159D8"/>
    <w:rsid w:val="00E15CA9"/>
    <w:rsid w:val="00E1611E"/>
    <w:rsid w:val="00E2005D"/>
    <w:rsid w:val="00E209EC"/>
    <w:rsid w:val="00E20A59"/>
    <w:rsid w:val="00E2138E"/>
    <w:rsid w:val="00E21C33"/>
    <w:rsid w:val="00E21D1D"/>
    <w:rsid w:val="00E23089"/>
    <w:rsid w:val="00E237A3"/>
    <w:rsid w:val="00E2420E"/>
    <w:rsid w:val="00E24506"/>
    <w:rsid w:val="00E24B37"/>
    <w:rsid w:val="00E251C5"/>
    <w:rsid w:val="00E25AA0"/>
    <w:rsid w:val="00E25E39"/>
    <w:rsid w:val="00E25E71"/>
    <w:rsid w:val="00E25F90"/>
    <w:rsid w:val="00E2601F"/>
    <w:rsid w:val="00E27510"/>
    <w:rsid w:val="00E27A3E"/>
    <w:rsid w:val="00E30509"/>
    <w:rsid w:val="00E3074D"/>
    <w:rsid w:val="00E30B78"/>
    <w:rsid w:val="00E30F9D"/>
    <w:rsid w:val="00E31831"/>
    <w:rsid w:val="00E31F10"/>
    <w:rsid w:val="00E323DB"/>
    <w:rsid w:val="00E32C1C"/>
    <w:rsid w:val="00E34E4C"/>
    <w:rsid w:val="00E35710"/>
    <w:rsid w:val="00E365A1"/>
    <w:rsid w:val="00E376AF"/>
    <w:rsid w:val="00E37CDE"/>
    <w:rsid w:val="00E407AC"/>
    <w:rsid w:val="00E40B43"/>
    <w:rsid w:val="00E415F4"/>
    <w:rsid w:val="00E431E6"/>
    <w:rsid w:val="00E43744"/>
    <w:rsid w:val="00E43D36"/>
    <w:rsid w:val="00E43DAA"/>
    <w:rsid w:val="00E440B9"/>
    <w:rsid w:val="00E444E5"/>
    <w:rsid w:val="00E444FE"/>
    <w:rsid w:val="00E45CA0"/>
    <w:rsid w:val="00E46068"/>
    <w:rsid w:val="00E462BD"/>
    <w:rsid w:val="00E46AF7"/>
    <w:rsid w:val="00E4740E"/>
    <w:rsid w:val="00E47D69"/>
    <w:rsid w:val="00E5038C"/>
    <w:rsid w:val="00E50423"/>
    <w:rsid w:val="00E505AB"/>
    <w:rsid w:val="00E507A0"/>
    <w:rsid w:val="00E51069"/>
    <w:rsid w:val="00E51082"/>
    <w:rsid w:val="00E51175"/>
    <w:rsid w:val="00E52C09"/>
    <w:rsid w:val="00E52DE9"/>
    <w:rsid w:val="00E54C4A"/>
    <w:rsid w:val="00E55328"/>
    <w:rsid w:val="00E557D8"/>
    <w:rsid w:val="00E55E83"/>
    <w:rsid w:val="00E55E95"/>
    <w:rsid w:val="00E56010"/>
    <w:rsid w:val="00E563A5"/>
    <w:rsid w:val="00E56BC1"/>
    <w:rsid w:val="00E56C26"/>
    <w:rsid w:val="00E573D9"/>
    <w:rsid w:val="00E575BA"/>
    <w:rsid w:val="00E576F3"/>
    <w:rsid w:val="00E57759"/>
    <w:rsid w:val="00E57AA6"/>
    <w:rsid w:val="00E57CBF"/>
    <w:rsid w:val="00E57FA9"/>
    <w:rsid w:val="00E6072E"/>
    <w:rsid w:val="00E61511"/>
    <w:rsid w:val="00E619C3"/>
    <w:rsid w:val="00E61C91"/>
    <w:rsid w:val="00E61DFF"/>
    <w:rsid w:val="00E61E3A"/>
    <w:rsid w:val="00E61ED2"/>
    <w:rsid w:val="00E62145"/>
    <w:rsid w:val="00E6273B"/>
    <w:rsid w:val="00E6326D"/>
    <w:rsid w:val="00E635F5"/>
    <w:rsid w:val="00E63742"/>
    <w:rsid w:val="00E639E1"/>
    <w:rsid w:val="00E63AB6"/>
    <w:rsid w:val="00E63B34"/>
    <w:rsid w:val="00E6429A"/>
    <w:rsid w:val="00E654DE"/>
    <w:rsid w:val="00E666ED"/>
    <w:rsid w:val="00E67419"/>
    <w:rsid w:val="00E7060D"/>
    <w:rsid w:val="00E709A6"/>
    <w:rsid w:val="00E70BC8"/>
    <w:rsid w:val="00E71076"/>
    <w:rsid w:val="00E71367"/>
    <w:rsid w:val="00E71719"/>
    <w:rsid w:val="00E722E9"/>
    <w:rsid w:val="00E72E0E"/>
    <w:rsid w:val="00E7323F"/>
    <w:rsid w:val="00E7356F"/>
    <w:rsid w:val="00E74353"/>
    <w:rsid w:val="00E74434"/>
    <w:rsid w:val="00E75763"/>
    <w:rsid w:val="00E767D2"/>
    <w:rsid w:val="00E76EEE"/>
    <w:rsid w:val="00E76F92"/>
    <w:rsid w:val="00E803AB"/>
    <w:rsid w:val="00E8135D"/>
    <w:rsid w:val="00E81394"/>
    <w:rsid w:val="00E81504"/>
    <w:rsid w:val="00E81BAF"/>
    <w:rsid w:val="00E81E6A"/>
    <w:rsid w:val="00E830DB"/>
    <w:rsid w:val="00E83220"/>
    <w:rsid w:val="00E83948"/>
    <w:rsid w:val="00E843BC"/>
    <w:rsid w:val="00E85620"/>
    <w:rsid w:val="00E8584A"/>
    <w:rsid w:val="00E859F2"/>
    <w:rsid w:val="00E85CD7"/>
    <w:rsid w:val="00E86C1F"/>
    <w:rsid w:val="00E8753C"/>
    <w:rsid w:val="00E903B3"/>
    <w:rsid w:val="00E90778"/>
    <w:rsid w:val="00E90E2A"/>
    <w:rsid w:val="00E91024"/>
    <w:rsid w:val="00E91104"/>
    <w:rsid w:val="00E9133A"/>
    <w:rsid w:val="00E91A84"/>
    <w:rsid w:val="00E91DBC"/>
    <w:rsid w:val="00E92F13"/>
    <w:rsid w:val="00E92FE3"/>
    <w:rsid w:val="00E93A96"/>
    <w:rsid w:val="00E95DF1"/>
    <w:rsid w:val="00E97D7F"/>
    <w:rsid w:val="00E97ECF"/>
    <w:rsid w:val="00EA1EC4"/>
    <w:rsid w:val="00EA22C2"/>
    <w:rsid w:val="00EA3020"/>
    <w:rsid w:val="00EA4D00"/>
    <w:rsid w:val="00EA5347"/>
    <w:rsid w:val="00EA55D8"/>
    <w:rsid w:val="00EA58B4"/>
    <w:rsid w:val="00EA5936"/>
    <w:rsid w:val="00EA63ED"/>
    <w:rsid w:val="00EA6CAD"/>
    <w:rsid w:val="00EA787C"/>
    <w:rsid w:val="00EB074E"/>
    <w:rsid w:val="00EB1E7D"/>
    <w:rsid w:val="00EB4811"/>
    <w:rsid w:val="00EB5244"/>
    <w:rsid w:val="00EB605E"/>
    <w:rsid w:val="00EB6153"/>
    <w:rsid w:val="00EB6154"/>
    <w:rsid w:val="00EB6317"/>
    <w:rsid w:val="00EB6438"/>
    <w:rsid w:val="00EB669C"/>
    <w:rsid w:val="00EB6745"/>
    <w:rsid w:val="00EB674E"/>
    <w:rsid w:val="00EB6CF8"/>
    <w:rsid w:val="00EB74A0"/>
    <w:rsid w:val="00EC0265"/>
    <w:rsid w:val="00EC1BD1"/>
    <w:rsid w:val="00EC1DB0"/>
    <w:rsid w:val="00EC4E1F"/>
    <w:rsid w:val="00EC4E54"/>
    <w:rsid w:val="00EC5940"/>
    <w:rsid w:val="00EC5962"/>
    <w:rsid w:val="00EC67B1"/>
    <w:rsid w:val="00EC7E10"/>
    <w:rsid w:val="00ED0A0E"/>
    <w:rsid w:val="00ED132B"/>
    <w:rsid w:val="00ED2051"/>
    <w:rsid w:val="00ED4858"/>
    <w:rsid w:val="00ED4ACF"/>
    <w:rsid w:val="00ED4DA7"/>
    <w:rsid w:val="00ED7EE6"/>
    <w:rsid w:val="00EE15FA"/>
    <w:rsid w:val="00EE20E6"/>
    <w:rsid w:val="00EE2A63"/>
    <w:rsid w:val="00EE2BB2"/>
    <w:rsid w:val="00EE2FB3"/>
    <w:rsid w:val="00EE3161"/>
    <w:rsid w:val="00EE3FFD"/>
    <w:rsid w:val="00EE4B4D"/>
    <w:rsid w:val="00EE5F42"/>
    <w:rsid w:val="00EE5FEA"/>
    <w:rsid w:val="00EE62DB"/>
    <w:rsid w:val="00EE7637"/>
    <w:rsid w:val="00EE7ABF"/>
    <w:rsid w:val="00EE7D9E"/>
    <w:rsid w:val="00EF01E3"/>
    <w:rsid w:val="00EF0D99"/>
    <w:rsid w:val="00EF0DA6"/>
    <w:rsid w:val="00EF1384"/>
    <w:rsid w:val="00EF18BE"/>
    <w:rsid w:val="00EF18CA"/>
    <w:rsid w:val="00EF19DC"/>
    <w:rsid w:val="00EF26C3"/>
    <w:rsid w:val="00EF2EB8"/>
    <w:rsid w:val="00EF2F86"/>
    <w:rsid w:val="00EF3E75"/>
    <w:rsid w:val="00EF55C7"/>
    <w:rsid w:val="00EF59C6"/>
    <w:rsid w:val="00EF61C3"/>
    <w:rsid w:val="00EF6C2E"/>
    <w:rsid w:val="00EF6CAB"/>
    <w:rsid w:val="00F00E63"/>
    <w:rsid w:val="00F01CF6"/>
    <w:rsid w:val="00F02324"/>
    <w:rsid w:val="00F025BF"/>
    <w:rsid w:val="00F029F7"/>
    <w:rsid w:val="00F02F17"/>
    <w:rsid w:val="00F03264"/>
    <w:rsid w:val="00F03B0E"/>
    <w:rsid w:val="00F044CD"/>
    <w:rsid w:val="00F045B2"/>
    <w:rsid w:val="00F04A9B"/>
    <w:rsid w:val="00F04CC1"/>
    <w:rsid w:val="00F0517E"/>
    <w:rsid w:val="00F05749"/>
    <w:rsid w:val="00F0590D"/>
    <w:rsid w:val="00F05D87"/>
    <w:rsid w:val="00F06784"/>
    <w:rsid w:val="00F06C77"/>
    <w:rsid w:val="00F0725D"/>
    <w:rsid w:val="00F0731C"/>
    <w:rsid w:val="00F07AB5"/>
    <w:rsid w:val="00F07DE3"/>
    <w:rsid w:val="00F10CAF"/>
    <w:rsid w:val="00F10D2F"/>
    <w:rsid w:val="00F1107B"/>
    <w:rsid w:val="00F11113"/>
    <w:rsid w:val="00F117AD"/>
    <w:rsid w:val="00F11EFC"/>
    <w:rsid w:val="00F131D0"/>
    <w:rsid w:val="00F13BB8"/>
    <w:rsid w:val="00F13E03"/>
    <w:rsid w:val="00F14992"/>
    <w:rsid w:val="00F14B74"/>
    <w:rsid w:val="00F14B88"/>
    <w:rsid w:val="00F158F1"/>
    <w:rsid w:val="00F15B57"/>
    <w:rsid w:val="00F16146"/>
    <w:rsid w:val="00F16A39"/>
    <w:rsid w:val="00F17B1E"/>
    <w:rsid w:val="00F17E6D"/>
    <w:rsid w:val="00F17FEE"/>
    <w:rsid w:val="00F200D2"/>
    <w:rsid w:val="00F20B44"/>
    <w:rsid w:val="00F21000"/>
    <w:rsid w:val="00F212C5"/>
    <w:rsid w:val="00F219EE"/>
    <w:rsid w:val="00F225DB"/>
    <w:rsid w:val="00F228A0"/>
    <w:rsid w:val="00F23CBE"/>
    <w:rsid w:val="00F23DBD"/>
    <w:rsid w:val="00F24266"/>
    <w:rsid w:val="00F24636"/>
    <w:rsid w:val="00F24AAC"/>
    <w:rsid w:val="00F253E6"/>
    <w:rsid w:val="00F25DAC"/>
    <w:rsid w:val="00F26C2D"/>
    <w:rsid w:val="00F26DEE"/>
    <w:rsid w:val="00F2705D"/>
    <w:rsid w:val="00F27FAB"/>
    <w:rsid w:val="00F31885"/>
    <w:rsid w:val="00F32AB9"/>
    <w:rsid w:val="00F32CA3"/>
    <w:rsid w:val="00F32D4C"/>
    <w:rsid w:val="00F333F4"/>
    <w:rsid w:val="00F33B3B"/>
    <w:rsid w:val="00F34793"/>
    <w:rsid w:val="00F348F6"/>
    <w:rsid w:val="00F35C7B"/>
    <w:rsid w:val="00F35D20"/>
    <w:rsid w:val="00F362A5"/>
    <w:rsid w:val="00F3665C"/>
    <w:rsid w:val="00F378F0"/>
    <w:rsid w:val="00F37C9B"/>
    <w:rsid w:val="00F401B4"/>
    <w:rsid w:val="00F40775"/>
    <w:rsid w:val="00F40BDE"/>
    <w:rsid w:val="00F40DA7"/>
    <w:rsid w:val="00F40DC6"/>
    <w:rsid w:val="00F42DEE"/>
    <w:rsid w:val="00F43D68"/>
    <w:rsid w:val="00F44041"/>
    <w:rsid w:val="00F468CB"/>
    <w:rsid w:val="00F475AD"/>
    <w:rsid w:val="00F504CC"/>
    <w:rsid w:val="00F50BE0"/>
    <w:rsid w:val="00F50EF0"/>
    <w:rsid w:val="00F51C37"/>
    <w:rsid w:val="00F5202C"/>
    <w:rsid w:val="00F52236"/>
    <w:rsid w:val="00F53551"/>
    <w:rsid w:val="00F537CF"/>
    <w:rsid w:val="00F54376"/>
    <w:rsid w:val="00F54B72"/>
    <w:rsid w:val="00F55A9E"/>
    <w:rsid w:val="00F55AC2"/>
    <w:rsid w:val="00F55D07"/>
    <w:rsid w:val="00F55EA3"/>
    <w:rsid w:val="00F5602A"/>
    <w:rsid w:val="00F56208"/>
    <w:rsid w:val="00F5695D"/>
    <w:rsid w:val="00F56B55"/>
    <w:rsid w:val="00F56C26"/>
    <w:rsid w:val="00F57292"/>
    <w:rsid w:val="00F5758C"/>
    <w:rsid w:val="00F57A96"/>
    <w:rsid w:val="00F60242"/>
    <w:rsid w:val="00F60998"/>
    <w:rsid w:val="00F6169E"/>
    <w:rsid w:val="00F61E3E"/>
    <w:rsid w:val="00F61F68"/>
    <w:rsid w:val="00F6214C"/>
    <w:rsid w:val="00F62349"/>
    <w:rsid w:val="00F627A5"/>
    <w:rsid w:val="00F64CE5"/>
    <w:rsid w:val="00F64FBD"/>
    <w:rsid w:val="00F65B30"/>
    <w:rsid w:val="00F66360"/>
    <w:rsid w:val="00F679DF"/>
    <w:rsid w:val="00F67D0A"/>
    <w:rsid w:val="00F704BD"/>
    <w:rsid w:val="00F70B94"/>
    <w:rsid w:val="00F71004"/>
    <w:rsid w:val="00F71165"/>
    <w:rsid w:val="00F719C1"/>
    <w:rsid w:val="00F71F3C"/>
    <w:rsid w:val="00F720F5"/>
    <w:rsid w:val="00F72C06"/>
    <w:rsid w:val="00F72DAE"/>
    <w:rsid w:val="00F74A91"/>
    <w:rsid w:val="00F74E03"/>
    <w:rsid w:val="00F757D9"/>
    <w:rsid w:val="00F75F97"/>
    <w:rsid w:val="00F8058F"/>
    <w:rsid w:val="00F80C46"/>
    <w:rsid w:val="00F80CC3"/>
    <w:rsid w:val="00F80EBA"/>
    <w:rsid w:val="00F814A6"/>
    <w:rsid w:val="00F8254C"/>
    <w:rsid w:val="00F83AD7"/>
    <w:rsid w:val="00F842C9"/>
    <w:rsid w:val="00F846F3"/>
    <w:rsid w:val="00F84DA9"/>
    <w:rsid w:val="00F85582"/>
    <w:rsid w:val="00F855A4"/>
    <w:rsid w:val="00F86368"/>
    <w:rsid w:val="00F86EC8"/>
    <w:rsid w:val="00F878E8"/>
    <w:rsid w:val="00F87EA4"/>
    <w:rsid w:val="00F9024E"/>
    <w:rsid w:val="00F9079A"/>
    <w:rsid w:val="00F90F2F"/>
    <w:rsid w:val="00F912F4"/>
    <w:rsid w:val="00F91960"/>
    <w:rsid w:val="00F91E73"/>
    <w:rsid w:val="00F92AA4"/>
    <w:rsid w:val="00F92EFF"/>
    <w:rsid w:val="00F93B61"/>
    <w:rsid w:val="00F93CF8"/>
    <w:rsid w:val="00F94662"/>
    <w:rsid w:val="00F94B19"/>
    <w:rsid w:val="00F94C3C"/>
    <w:rsid w:val="00F956D4"/>
    <w:rsid w:val="00F9641A"/>
    <w:rsid w:val="00F96903"/>
    <w:rsid w:val="00FA09D9"/>
    <w:rsid w:val="00FA0BCE"/>
    <w:rsid w:val="00FA3AC9"/>
    <w:rsid w:val="00FA4A8E"/>
    <w:rsid w:val="00FA5286"/>
    <w:rsid w:val="00FA6458"/>
    <w:rsid w:val="00FA65F7"/>
    <w:rsid w:val="00FA665C"/>
    <w:rsid w:val="00FA668F"/>
    <w:rsid w:val="00FA6ABF"/>
    <w:rsid w:val="00FA735D"/>
    <w:rsid w:val="00FA762D"/>
    <w:rsid w:val="00FA7F0C"/>
    <w:rsid w:val="00FB0B4E"/>
    <w:rsid w:val="00FB0BDA"/>
    <w:rsid w:val="00FB16C7"/>
    <w:rsid w:val="00FB2291"/>
    <w:rsid w:val="00FB2704"/>
    <w:rsid w:val="00FB2754"/>
    <w:rsid w:val="00FB289B"/>
    <w:rsid w:val="00FB28C8"/>
    <w:rsid w:val="00FB2C5F"/>
    <w:rsid w:val="00FB340F"/>
    <w:rsid w:val="00FB3622"/>
    <w:rsid w:val="00FB36B8"/>
    <w:rsid w:val="00FB38A7"/>
    <w:rsid w:val="00FB450E"/>
    <w:rsid w:val="00FB5054"/>
    <w:rsid w:val="00FB5A4A"/>
    <w:rsid w:val="00FB5B93"/>
    <w:rsid w:val="00FB6A3A"/>
    <w:rsid w:val="00FB6F51"/>
    <w:rsid w:val="00FC0440"/>
    <w:rsid w:val="00FC076B"/>
    <w:rsid w:val="00FC0AFB"/>
    <w:rsid w:val="00FC0B40"/>
    <w:rsid w:val="00FC174E"/>
    <w:rsid w:val="00FC1935"/>
    <w:rsid w:val="00FC1E60"/>
    <w:rsid w:val="00FC2694"/>
    <w:rsid w:val="00FC28D9"/>
    <w:rsid w:val="00FC4761"/>
    <w:rsid w:val="00FC4D23"/>
    <w:rsid w:val="00FC4D47"/>
    <w:rsid w:val="00FC4E95"/>
    <w:rsid w:val="00FC5619"/>
    <w:rsid w:val="00FC5757"/>
    <w:rsid w:val="00FC5F15"/>
    <w:rsid w:val="00FC670D"/>
    <w:rsid w:val="00FC69AA"/>
    <w:rsid w:val="00FC73F7"/>
    <w:rsid w:val="00FC7947"/>
    <w:rsid w:val="00FD02C6"/>
    <w:rsid w:val="00FD0AAC"/>
    <w:rsid w:val="00FD0CD3"/>
    <w:rsid w:val="00FD28A7"/>
    <w:rsid w:val="00FD2EA8"/>
    <w:rsid w:val="00FD4057"/>
    <w:rsid w:val="00FD475A"/>
    <w:rsid w:val="00FD549D"/>
    <w:rsid w:val="00FD6156"/>
    <w:rsid w:val="00FD6E2F"/>
    <w:rsid w:val="00FD70EA"/>
    <w:rsid w:val="00FE064C"/>
    <w:rsid w:val="00FE2B6A"/>
    <w:rsid w:val="00FE37EE"/>
    <w:rsid w:val="00FE390B"/>
    <w:rsid w:val="00FE3F28"/>
    <w:rsid w:val="00FE4280"/>
    <w:rsid w:val="00FE4CEE"/>
    <w:rsid w:val="00FE5096"/>
    <w:rsid w:val="00FE5956"/>
    <w:rsid w:val="00FE5B4F"/>
    <w:rsid w:val="00FE5F02"/>
    <w:rsid w:val="00FE6375"/>
    <w:rsid w:val="00FE6AE4"/>
    <w:rsid w:val="00FE71B4"/>
    <w:rsid w:val="00FE7493"/>
    <w:rsid w:val="00FE7799"/>
    <w:rsid w:val="00FE7A73"/>
    <w:rsid w:val="00FF2D48"/>
    <w:rsid w:val="00FF41EB"/>
    <w:rsid w:val="00FF491F"/>
    <w:rsid w:val="00FF4E91"/>
    <w:rsid w:val="00FF64AD"/>
    <w:rsid w:val="00FF6648"/>
    <w:rsid w:val="00FF678F"/>
    <w:rsid w:val="00FF783A"/>
    <w:rsid w:val="00FF7DFA"/>
    <w:rsid w:val="0287E5F6"/>
    <w:rsid w:val="05521DAE"/>
    <w:rsid w:val="05C6B038"/>
    <w:rsid w:val="0695F5D2"/>
    <w:rsid w:val="08F7617A"/>
    <w:rsid w:val="10030D2E"/>
    <w:rsid w:val="116F2A24"/>
    <w:rsid w:val="11B4802B"/>
    <w:rsid w:val="144FF3B5"/>
    <w:rsid w:val="147463E1"/>
    <w:rsid w:val="1573E942"/>
    <w:rsid w:val="166C50AD"/>
    <w:rsid w:val="17EE031C"/>
    <w:rsid w:val="1857FE03"/>
    <w:rsid w:val="1A5CF48F"/>
    <w:rsid w:val="1E344DA5"/>
    <w:rsid w:val="20CD949C"/>
    <w:rsid w:val="218B78A9"/>
    <w:rsid w:val="2465C597"/>
    <w:rsid w:val="2689D8CD"/>
    <w:rsid w:val="283FF546"/>
    <w:rsid w:val="2B616271"/>
    <w:rsid w:val="2BD93A03"/>
    <w:rsid w:val="2E7EE720"/>
    <w:rsid w:val="2F5DF1AB"/>
    <w:rsid w:val="2FDC01A1"/>
    <w:rsid w:val="30EE5E16"/>
    <w:rsid w:val="31159FD8"/>
    <w:rsid w:val="35627D04"/>
    <w:rsid w:val="37CD5A3F"/>
    <w:rsid w:val="37E087B9"/>
    <w:rsid w:val="3966DA54"/>
    <w:rsid w:val="39BD889C"/>
    <w:rsid w:val="3ADBB5DB"/>
    <w:rsid w:val="3C8D2272"/>
    <w:rsid w:val="409A49D2"/>
    <w:rsid w:val="40FF26AB"/>
    <w:rsid w:val="4311995B"/>
    <w:rsid w:val="4371AE24"/>
    <w:rsid w:val="4540A54B"/>
    <w:rsid w:val="47F638C3"/>
    <w:rsid w:val="49F685D8"/>
    <w:rsid w:val="4DDA503F"/>
    <w:rsid w:val="4ECD7CB4"/>
    <w:rsid w:val="50EB4BC4"/>
    <w:rsid w:val="52E17BAD"/>
    <w:rsid w:val="58FC367A"/>
    <w:rsid w:val="5D5F601B"/>
    <w:rsid w:val="5EE04AEA"/>
    <w:rsid w:val="6048AFFF"/>
    <w:rsid w:val="631442DD"/>
    <w:rsid w:val="6356F047"/>
    <w:rsid w:val="6439B5BC"/>
    <w:rsid w:val="66AEEEEA"/>
    <w:rsid w:val="70F1DA28"/>
    <w:rsid w:val="722B7006"/>
    <w:rsid w:val="74A16B64"/>
    <w:rsid w:val="7589E4FF"/>
    <w:rsid w:val="75B9FB18"/>
    <w:rsid w:val="77AB2BCE"/>
    <w:rsid w:val="7902CE88"/>
    <w:rsid w:val="7926CB68"/>
    <w:rsid w:val="7CBCEFB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88BAEC"/>
  <w15:chartTrackingRefBased/>
  <w15:docId w15:val="{CBB0C1B1-A345-492C-826B-4BF3E40DA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5DEF"/>
    <w:pPr>
      <w:spacing w:line="276" w:lineRule="auto"/>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FB6F51"/>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3A058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B6F51"/>
    <w:rPr>
      <w:rFonts w:asciiTheme="majorHAnsi" w:eastAsiaTheme="majorEastAsia" w:hAnsiTheme="majorHAnsi" w:cstheme="majorBidi"/>
      <w:color w:val="262626" w:themeColor="text1" w:themeTint="D9"/>
      <w:kern w:val="0"/>
      <w:sz w:val="40"/>
      <w:szCs w:val="40"/>
      <w:lang w:eastAsia="lt-LT"/>
      <w14:ligatures w14:val="none"/>
    </w:rPr>
  </w:style>
  <w:style w:type="character" w:styleId="Hipersaitas">
    <w:name w:val="Hyperlink"/>
    <w:basedOn w:val="Numatytasispastraiposriftas"/>
    <w:uiPriority w:val="99"/>
    <w:unhideWhenUsed/>
    <w:rsid w:val="00FB6F51"/>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6F51"/>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B6F51"/>
    <w:pPr>
      <w:ind w:left="720"/>
      <w:contextualSpacing/>
    </w:pPr>
    <w:rPr>
      <w:rFonts w:ascii="Times New Roman" w:eastAsiaTheme="minorHAnsi" w:hAnsi="Times New Roman"/>
      <w:kern w:val="2"/>
      <w:sz w:val="24"/>
      <w:szCs w:val="22"/>
      <w:lang w:eastAsia="en-US"/>
      <w14:ligatures w14:val="standardContextual"/>
    </w:rPr>
  </w:style>
  <w:style w:type="paragraph" w:styleId="Betarp">
    <w:name w:val="No Spacing"/>
    <w:link w:val="BetarpDiagrama"/>
    <w:uiPriority w:val="1"/>
    <w:qFormat/>
    <w:rsid w:val="00FB6F51"/>
    <w:pPr>
      <w:spacing w:after="0" w:line="240" w:lineRule="auto"/>
    </w:pPr>
    <w:rPr>
      <w:rFonts w:asciiTheme="minorHAnsi" w:eastAsiaTheme="minorEastAsia" w:hAnsiTheme="minorHAnsi"/>
      <w:kern w:val="0"/>
      <w:sz w:val="21"/>
      <w:szCs w:val="21"/>
      <w:lang w:eastAsia="lt-LT"/>
      <w14:ligatures w14:val="none"/>
    </w:rPr>
  </w:style>
  <w:style w:type="paragraph" w:styleId="Turinioantrat">
    <w:name w:val="TOC Heading"/>
    <w:basedOn w:val="Antrat1"/>
    <w:next w:val="prastasis"/>
    <w:uiPriority w:val="39"/>
    <w:unhideWhenUsed/>
    <w:qFormat/>
    <w:rsid w:val="00FB6F51"/>
    <w:pPr>
      <w:outlineLvl w:val="9"/>
    </w:pPr>
  </w:style>
  <w:style w:type="character" w:customStyle="1" w:styleId="BetarpDiagrama">
    <w:name w:val="Be tarpų Diagrama"/>
    <w:basedOn w:val="Numatytasispastraiposriftas"/>
    <w:link w:val="Betarp"/>
    <w:uiPriority w:val="1"/>
    <w:rsid w:val="00FB6F51"/>
    <w:rPr>
      <w:rFonts w:asciiTheme="minorHAnsi" w:eastAsiaTheme="minorEastAsia" w:hAnsiTheme="minorHAnsi"/>
      <w:kern w:val="0"/>
      <w:sz w:val="21"/>
      <w:szCs w:val="21"/>
      <w:lang w:eastAsia="lt-LT"/>
      <w14:ligatures w14:val="none"/>
    </w:rPr>
  </w:style>
  <w:style w:type="paragraph" w:styleId="Turinys1">
    <w:name w:val="toc 1"/>
    <w:basedOn w:val="prastasis"/>
    <w:next w:val="prastasis"/>
    <w:autoRedefine/>
    <w:uiPriority w:val="39"/>
    <w:unhideWhenUsed/>
    <w:rsid w:val="00E31F10"/>
    <w:pPr>
      <w:tabs>
        <w:tab w:val="right" w:leader="dot" w:pos="9962"/>
      </w:tabs>
      <w:spacing w:after="0"/>
      <w:ind w:left="426" w:hanging="284"/>
    </w:pPr>
  </w:style>
  <w:style w:type="paragraph" w:styleId="Turinys2">
    <w:name w:val="toc 2"/>
    <w:basedOn w:val="prastasis"/>
    <w:next w:val="prastasis"/>
    <w:autoRedefine/>
    <w:uiPriority w:val="39"/>
    <w:unhideWhenUsed/>
    <w:rsid w:val="003E50A6"/>
    <w:pPr>
      <w:tabs>
        <w:tab w:val="right" w:leader="dot" w:pos="9962"/>
      </w:tabs>
      <w:spacing w:after="0"/>
      <w:ind w:left="220"/>
    </w:pPr>
  </w:style>
  <w:style w:type="paragraph" w:customStyle="1" w:styleId="Body2">
    <w:name w:val="Body 2"/>
    <w:rsid w:val="00FB6F51"/>
    <w:pPr>
      <w:suppressAutoHyphens/>
      <w:spacing w:after="40" w:line="240" w:lineRule="auto"/>
      <w:jc w:val="both"/>
    </w:pPr>
    <w:rPr>
      <w:rFonts w:eastAsia="Arial Unicode MS" w:cs="Arial Unicode MS"/>
      <w:color w:val="000000"/>
      <w:kern w:val="0"/>
      <w:sz w:val="21"/>
      <w:szCs w:val="21"/>
      <w:lang w:val="en-US"/>
      <w14:ligatures w14:val="none"/>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Footnote"/>
    <w:basedOn w:val="prastasis"/>
    <w:link w:val="PuslapioinaostekstasDiagrama"/>
    <w:uiPriority w:val="99"/>
    <w:unhideWhenUsed/>
    <w:rsid w:val="00FB6F51"/>
    <w:rPr>
      <w:sz w:val="20"/>
      <w:szCs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FB6F51"/>
    <w:rPr>
      <w:rFonts w:asciiTheme="minorHAnsi" w:eastAsiaTheme="minorEastAsia" w:hAnsiTheme="minorHAnsi"/>
      <w:kern w:val="0"/>
      <w:sz w:val="20"/>
      <w:szCs w:val="20"/>
      <w:lang w:eastAsia="lt-LT"/>
      <w14:ligatures w14:val="none"/>
    </w:rPr>
  </w:style>
  <w:style w:type="character" w:styleId="Puslapioinaosnuoroda">
    <w:name w:val="footnote reference"/>
    <w:aliases w:val="• Isnasos nuoroda"/>
    <w:basedOn w:val="Numatytasispastraiposriftas"/>
    <w:uiPriority w:val="99"/>
    <w:unhideWhenUsed/>
    <w:qFormat/>
    <w:rsid w:val="00FB6F51"/>
    <w:rPr>
      <w:vertAlign w:val="superscript"/>
    </w:rPr>
  </w:style>
  <w:style w:type="character" w:customStyle="1" w:styleId="cf01">
    <w:name w:val="cf01"/>
    <w:basedOn w:val="Numatytasispastraiposriftas"/>
    <w:rsid w:val="00FB6F51"/>
    <w:rPr>
      <w:rFonts w:ascii="Segoe UI" w:hAnsi="Segoe UI" w:cs="Segoe UI" w:hint="default"/>
      <w:sz w:val="18"/>
      <w:szCs w:val="18"/>
    </w:rPr>
  </w:style>
  <w:style w:type="paragraph" w:customStyle="1" w:styleId="tajtip">
    <w:name w:val="tajtip"/>
    <w:basedOn w:val="prastasis"/>
    <w:rsid w:val="003A058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
    <w:rsid w:val="003A0587"/>
    <w:rPr>
      <w:rFonts w:asciiTheme="majorHAnsi" w:eastAsiaTheme="majorEastAsia" w:hAnsiTheme="majorHAnsi" w:cstheme="majorBidi"/>
      <w:color w:val="2F5496" w:themeColor="accent1" w:themeShade="BF"/>
      <w:kern w:val="0"/>
      <w:sz w:val="26"/>
      <w:szCs w:val="26"/>
      <w:lang w:eastAsia="lt-LT"/>
      <w14:ligatures w14:val="none"/>
    </w:rPr>
  </w:style>
  <w:style w:type="paragraph" w:styleId="Paantrat">
    <w:name w:val="Subtitle"/>
    <w:basedOn w:val="prastasis"/>
    <w:next w:val="prastasis"/>
    <w:link w:val="PaantratDiagrama"/>
    <w:uiPriority w:val="11"/>
    <w:qFormat/>
    <w:rsid w:val="003A058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3A0587"/>
    <w:rPr>
      <w:rFonts w:asciiTheme="minorHAnsi" w:eastAsiaTheme="minorEastAsia" w:hAnsiTheme="minorHAnsi"/>
      <w:caps/>
      <w:color w:val="404040" w:themeColor="text1" w:themeTint="BF"/>
      <w:spacing w:val="20"/>
      <w:kern w:val="0"/>
      <w:sz w:val="28"/>
      <w:szCs w:val="28"/>
      <w:lang w:eastAsia="lt-LT"/>
      <w14:ligatures w14:val="none"/>
    </w:rPr>
  </w:style>
  <w:style w:type="table" w:customStyle="1" w:styleId="TableGrid3">
    <w:name w:val="Table Grid3"/>
    <w:basedOn w:val="prastojilentel"/>
    <w:next w:val="Lentelstinklelis"/>
    <w:uiPriority w:val="39"/>
    <w:rsid w:val="003A0587"/>
    <w:pPr>
      <w:spacing w:after="0" w:line="240" w:lineRule="auto"/>
    </w:pPr>
    <w:rPr>
      <w:rFonts w:eastAsia="Times New Roman" w:cs="Times New Roman"/>
      <w:kern w:val="0"/>
      <w:sz w:val="20"/>
      <w:szCs w:val="20"/>
      <w:lang w:eastAsia="lt-LT"/>
      <w14:ligatures w14:val="none"/>
    </w:rPr>
    <w:tblPr/>
  </w:style>
  <w:style w:type="table" w:styleId="Lentelstinklelis">
    <w:name w:val="Table Grid"/>
    <w:basedOn w:val="prastojilentel"/>
    <w:uiPriority w:val="39"/>
    <w:rsid w:val="003A0587"/>
    <w:pPr>
      <w:spacing w:after="0" w:line="240" w:lineRule="auto"/>
    </w:pPr>
    <w:tblPr/>
  </w:style>
  <w:style w:type="paragraph" w:styleId="Antrats">
    <w:name w:val="header"/>
    <w:basedOn w:val="prastasis"/>
    <w:link w:val="AntratsDiagrama"/>
    <w:uiPriority w:val="99"/>
    <w:unhideWhenUsed/>
    <w:rsid w:val="003964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964ED"/>
    <w:rPr>
      <w:rFonts w:asciiTheme="minorHAnsi" w:eastAsiaTheme="minorEastAsia" w:hAnsiTheme="minorHAnsi"/>
      <w:kern w:val="0"/>
      <w:sz w:val="21"/>
      <w:szCs w:val="21"/>
      <w:lang w:eastAsia="lt-LT"/>
      <w14:ligatures w14:val="none"/>
    </w:rPr>
  </w:style>
  <w:style w:type="paragraph" w:styleId="Porat">
    <w:name w:val="footer"/>
    <w:basedOn w:val="prastasis"/>
    <w:link w:val="PoratDiagrama"/>
    <w:uiPriority w:val="99"/>
    <w:unhideWhenUsed/>
    <w:rsid w:val="003964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964ED"/>
    <w:rPr>
      <w:rFonts w:asciiTheme="minorHAnsi" w:eastAsiaTheme="minorEastAsia" w:hAnsiTheme="minorHAnsi"/>
      <w:kern w:val="0"/>
      <w:sz w:val="21"/>
      <w:szCs w:val="21"/>
      <w:lang w:eastAsia="lt-LT"/>
      <w14:ligatures w14:val="none"/>
    </w:rPr>
  </w:style>
  <w:style w:type="character" w:styleId="Komentaronuoroda">
    <w:name w:val="annotation reference"/>
    <w:basedOn w:val="Numatytasispastraiposriftas"/>
    <w:uiPriority w:val="99"/>
    <w:semiHidden/>
    <w:unhideWhenUsed/>
    <w:rsid w:val="00E57759"/>
    <w:rPr>
      <w:sz w:val="16"/>
      <w:szCs w:val="16"/>
    </w:rPr>
  </w:style>
  <w:style w:type="paragraph" w:styleId="Komentarotekstas">
    <w:name w:val="annotation text"/>
    <w:basedOn w:val="prastasis"/>
    <w:link w:val="KomentarotekstasDiagrama"/>
    <w:uiPriority w:val="99"/>
    <w:unhideWhenUsed/>
    <w:rsid w:val="00E577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57759"/>
    <w:rPr>
      <w:rFonts w:asciiTheme="minorHAnsi" w:eastAsiaTheme="minorEastAsia" w:hAnsiTheme="minorHAnsi"/>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E57759"/>
    <w:rPr>
      <w:b/>
      <w:bCs/>
    </w:rPr>
  </w:style>
  <w:style w:type="character" w:customStyle="1" w:styleId="KomentarotemaDiagrama">
    <w:name w:val="Komentaro tema Diagrama"/>
    <w:basedOn w:val="KomentarotekstasDiagrama"/>
    <w:link w:val="Komentarotema"/>
    <w:uiPriority w:val="99"/>
    <w:semiHidden/>
    <w:rsid w:val="00E57759"/>
    <w:rPr>
      <w:rFonts w:asciiTheme="minorHAnsi" w:eastAsiaTheme="minorEastAsia" w:hAnsiTheme="minorHAnsi"/>
      <w:b/>
      <w:bCs/>
      <w:kern w:val="0"/>
      <w:sz w:val="20"/>
      <w:szCs w:val="20"/>
      <w:lang w:eastAsia="lt-LT"/>
      <w14:ligatures w14:val="none"/>
    </w:rPr>
  </w:style>
  <w:style w:type="character" w:styleId="Perirtashipersaitas">
    <w:name w:val="FollowedHyperlink"/>
    <w:basedOn w:val="Numatytasispastraiposriftas"/>
    <w:uiPriority w:val="99"/>
    <w:semiHidden/>
    <w:unhideWhenUsed/>
    <w:rsid w:val="00FF4E91"/>
    <w:rPr>
      <w:color w:val="954F72" w:themeColor="followedHyperlink"/>
      <w:u w:val="single"/>
    </w:rPr>
  </w:style>
  <w:style w:type="table" w:customStyle="1" w:styleId="Lentelstinklelis1">
    <w:name w:val="Lentelės tinklelis1"/>
    <w:basedOn w:val="prastojilentel"/>
    <w:next w:val="Lentelstinklelis"/>
    <w:rsid w:val="00665905"/>
    <w:pPr>
      <w:spacing w:after="0" w:line="240" w:lineRule="auto"/>
    </w:pPr>
    <w:rPr>
      <w:rFonts w:eastAsia="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D654AC"/>
    <w:pPr>
      <w:spacing w:after="0" w:line="240" w:lineRule="auto"/>
    </w:pPr>
    <w:rPr>
      <w:rFonts w:eastAsia="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rsid w:val="00BF143E"/>
    <w:rPr>
      <w:color w:val="605E5C"/>
      <w:shd w:val="clear" w:color="auto" w:fill="E1DFDD"/>
    </w:rPr>
  </w:style>
  <w:style w:type="table" w:customStyle="1" w:styleId="Lentelstinklelis3">
    <w:name w:val="Lentelės tinklelis3"/>
    <w:basedOn w:val="prastojilentel"/>
    <w:next w:val="Lentelstinklelis"/>
    <w:rsid w:val="00D07AC6"/>
    <w:pPr>
      <w:spacing w:after="0" w:line="240" w:lineRule="auto"/>
    </w:pPr>
    <w:rPr>
      <w:rFonts w:eastAsia="Times New Roman" w:cs="Times New Roman"/>
      <w:kern w:val="0"/>
      <w:sz w:val="20"/>
      <w:szCs w:val="20"/>
      <w:lang w:eastAsia="lt-LT"/>
      <w14:ligatures w14:val="none"/>
    </w:rPr>
    <w:tblPr/>
  </w:style>
  <w:style w:type="table" w:customStyle="1" w:styleId="Lentelstinklelis4">
    <w:name w:val="Lentelės tinklelis4"/>
    <w:basedOn w:val="prastojilentel"/>
    <w:next w:val="Lentelstinklelis"/>
    <w:rsid w:val="00946162"/>
    <w:pPr>
      <w:suppressAutoHyphens/>
      <w:spacing w:after="0" w:line="240" w:lineRule="auto"/>
    </w:pPr>
    <w:rPr>
      <w:rFonts w:ascii="Calibri" w:hAnsi="Calibri"/>
      <w:kern w:val="0"/>
      <w:sz w:val="20"/>
      <w:szCs w:val="20"/>
      <w:lang w:eastAsia="lt-LT"/>
      <w14:ligatures w14:val="none"/>
    </w:rPr>
    <w:tblPr/>
  </w:style>
  <w:style w:type="paragraph" w:styleId="Pataisymai">
    <w:name w:val="Revision"/>
    <w:hidden/>
    <w:uiPriority w:val="99"/>
    <w:semiHidden/>
    <w:rsid w:val="00076284"/>
    <w:pPr>
      <w:spacing w:after="0" w:line="240" w:lineRule="auto"/>
    </w:pPr>
    <w:rPr>
      <w:rFonts w:asciiTheme="minorHAnsi" w:eastAsiaTheme="minorEastAsia" w:hAnsiTheme="minorHAnsi"/>
      <w:kern w:val="0"/>
      <w:sz w:val="21"/>
      <w:szCs w:val="21"/>
      <w:lang w:eastAsia="lt-LT"/>
      <w14:ligatures w14:val="none"/>
    </w:rPr>
  </w:style>
  <w:style w:type="table" w:customStyle="1" w:styleId="Lentelstinklelis5">
    <w:name w:val="Lentelės tinklelis5"/>
    <w:basedOn w:val="prastojilentel"/>
    <w:next w:val="Lentelstinklelis"/>
    <w:uiPriority w:val="39"/>
    <w:rsid w:val="00AA164E"/>
    <w:pPr>
      <w:spacing w:after="0" w:line="240" w:lineRule="auto"/>
    </w:pPr>
    <w:rPr>
      <w:rFonts w:eastAsia="Times New Roman" w:cs="Times New Roman"/>
      <w:kern w:val="0"/>
      <w:sz w:val="20"/>
      <w:szCs w:val="20"/>
      <w:lang w:eastAsia="lt-LT"/>
      <w14:ligatures w14:val="none"/>
    </w:rPr>
    <w:tblPr/>
  </w:style>
  <w:style w:type="paragraph" w:customStyle="1" w:styleId="Point1">
    <w:name w:val="Point 1"/>
    <w:basedOn w:val="prastasis"/>
    <w:rsid w:val="00FB0BDA"/>
    <w:pPr>
      <w:spacing w:before="120" w:after="120" w:line="240" w:lineRule="auto"/>
      <w:ind w:left="1418" w:hanging="567"/>
      <w:jc w:val="both"/>
    </w:pPr>
    <w:rPr>
      <w:rFonts w:ascii="Times New Roman" w:eastAsia="Times New Roman" w:hAnsi="Times New Roman" w:cs="Times New Roman"/>
      <w:sz w:val="24"/>
      <w:szCs w:val="20"/>
      <w:lang w:val="en-GB"/>
    </w:rPr>
  </w:style>
  <w:style w:type="table" w:customStyle="1" w:styleId="Lentelstinklelis6">
    <w:name w:val="Lentelės tinklelis6"/>
    <w:basedOn w:val="prastojilentel"/>
    <w:next w:val="Lentelstinklelis"/>
    <w:uiPriority w:val="39"/>
    <w:rsid w:val="00035AE8"/>
    <w:pPr>
      <w:spacing w:after="0" w:line="240" w:lineRule="auto"/>
    </w:pPr>
    <w:rPr>
      <w:rFonts w:eastAsia="Times New Roman" w:cs="Times New Roman"/>
      <w:kern w:val="0"/>
      <w:sz w:val="20"/>
      <w:szCs w:val="20"/>
      <w:lang w:eastAsia="lt-LT"/>
      <w14:ligatures w14:val="none"/>
    </w:rPr>
    <w:tblPr/>
  </w:style>
  <w:style w:type="paragraph" w:styleId="Dokumentoinaostekstas">
    <w:name w:val="endnote text"/>
    <w:basedOn w:val="prastasis"/>
    <w:link w:val="DokumentoinaostekstasDiagrama"/>
    <w:uiPriority w:val="99"/>
    <w:semiHidden/>
    <w:unhideWhenUsed/>
    <w:rsid w:val="00A073D1"/>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A073D1"/>
    <w:rPr>
      <w:rFonts w:asciiTheme="minorHAnsi" w:eastAsiaTheme="minorEastAsia" w:hAnsiTheme="minorHAnsi"/>
      <w:kern w:val="0"/>
      <w:sz w:val="20"/>
      <w:szCs w:val="20"/>
      <w:lang w:eastAsia="lt-LT"/>
      <w14:ligatures w14:val="none"/>
    </w:rPr>
  </w:style>
  <w:style w:type="character" w:styleId="Dokumentoinaosnumeris">
    <w:name w:val="endnote reference"/>
    <w:basedOn w:val="Numatytasispastraiposriftas"/>
    <w:uiPriority w:val="99"/>
    <w:semiHidden/>
    <w:unhideWhenUsed/>
    <w:rsid w:val="00A073D1"/>
    <w:rPr>
      <w:vertAlign w:val="superscript"/>
    </w:rPr>
  </w:style>
  <w:style w:type="table" w:customStyle="1" w:styleId="Lentelstinklelis7">
    <w:name w:val="Lentelės tinklelis7"/>
    <w:basedOn w:val="prastojilentel"/>
    <w:next w:val="Lentelstinklelis"/>
    <w:uiPriority w:val="39"/>
    <w:rsid w:val="00B500D1"/>
    <w:pPr>
      <w:spacing w:after="0" w:line="240" w:lineRule="auto"/>
    </w:pPr>
    <w:rPr>
      <w:rFonts w:eastAsia="Times New Roman" w:cs="Times New Roman"/>
      <w:kern w:val="0"/>
      <w:sz w:val="20"/>
      <w:szCs w:val="20"/>
      <w:lang w:eastAsia="lt-LT"/>
      <w14:ligatures w14:val="none"/>
    </w:rPr>
    <w:tblPr/>
  </w:style>
  <w:style w:type="table" w:customStyle="1" w:styleId="Lentelstinklelis8">
    <w:name w:val="Lentelės tinklelis8"/>
    <w:basedOn w:val="prastojilentel"/>
    <w:next w:val="Lentelstinklelis"/>
    <w:uiPriority w:val="39"/>
    <w:rsid w:val="00A300EA"/>
    <w:pPr>
      <w:spacing w:after="0" w:line="240" w:lineRule="auto"/>
    </w:pPr>
    <w:rPr>
      <w:rFonts w:eastAsia="Times New Roman" w:cs="Times New Roman"/>
      <w:kern w:val="0"/>
      <w:sz w:val="20"/>
      <w:szCs w:val="20"/>
      <w:lang w:eastAsia="lt-LT"/>
      <w14:ligatures w14:val="none"/>
    </w:rPr>
    <w:tblPr/>
  </w:style>
  <w:style w:type="paragraph" w:styleId="Debesliotekstas">
    <w:name w:val="Balloon Text"/>
    <w:basedOn w:val="prastasis"/>
    <w:link w:val="DebesliotekstasDiagrama"/>
    <w:uiPriority w:val="99"/>
    <w:semiHidden/>
    <w:unhideWhenUsed/>
    <w:rsid w:val="00A06E5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06E5D"/>
    <w:rPr>
      <w:rFonts w:ascii="Segoe UI" w:eastAsiaTheme="minorEastAsia" w:hAnsi="Segoe UI" w:cs="Segoe UI"/>
      <w:kern w:val="0"/>
      <w:sz w:val="18"/>
      <w:szCs w:val="18"/>
      <w:lang w:eastAsia="lt-LT"/>
      <w14:ligatures w14:val="none"/>
    </w:rPr>
  </w:style>
  <w:style w:type="table" w:customStyle="1" w:styleId="Lentelstinklelis9">
    <w:name w:val="Lentelės tinklelis9"/>
    <w:basedOn w:val="prastojilentel"/>
    <w:next w:val="Lentelstinklelis"/>
    <w:uiPriority w:val="39"/>
    <w:rsid w:val="00C63859"/>
    <w:pPr>
      <w:spacing w:after="0" w:line="240" w:lineRule="auto"/>
    </w:pPr>
    <w:rPr>
      <w:rFonts w:eastAsia="Times New Roman" w:cs="Times New Roman"/>
      <w:kern w:val="0"/>
      <w:sz w:val="20"/>
      <w:szCs w:val="20"/>
      <w:lang w:eastAsia="lt-LT"/>
      <w14:ligatures w14:val="none"/>
    </w:rPr>
    <w:tblPr/>
  </w:style>
  <w:style w:type="table" w:customStyle="1" w:styleId="Lentelstinklelis10">
    <w:name w:val="Lentelės tinklelis10"/>
    <w:basedOn w:val="prastojilentel"/>
    <w:next w:val="Lentelstinklelis"/>
    <w:uiPriority w:val="39"/>
    <w:rsid w:val="003E50A6"/>
    <w:pPr>
      <w:spacing w:after="0" w:line="240" w:lineRule="auto"/>
    </w:pPr>
    <w:rPr>
      <w:rFonts w:eastAsia="Times New Roman" w:cs="Times New Roman"/>
      <w:kern w:val="0"/>
      <w:sz w:val="20"/>
      <w:szCs w:val="20"/>
      <w:lang w:eastAsia="lt-LT"/>
      <w14:ligatures w14:val="none"/>
    </w:rPr>
    <w:tblPr/>
  </w:style>
  <w:style w:type="table" w:customStyle="1" w:styleId="Lentelstinklelis11">
    <w:name w:val="Lentelės tinklelis11"/>
    <w:basedOn w:val="prastojilentel"/>
    <w:next w:val="Lentelstinklelis"/>
    <w:uiPriority w:val="39"/>
    <w:rsid w:val="00677380"/>
    <w:pPr>
      <w:spacing w:after="0" w:line="240" w:lineRule="auto"/>
    </w:pPr>
    <w:rPr>
      <w:rFonts w:eastAsia="Times New Roman" w:cs="Times New Roman"/>
      <w:kern w:val="0"/>
      <w:sz w:val="20"/>
      <w:szCs w:val="20"/>
      <w:lang w:eastAsia="lt-LT"/>
      <w14:ligatures w14:val="none"/>
    </w:rPr>
    <w:tblPr/>
  </w:style>
  <w:style w:type="table" w:customStyle="1" w:styleId="Lentelstinklelis12">
    <w:name w:val="Lentelės tinklelis12"/>
    <w:basedOn w:val="prastojilentel"/>
    <w:next w:val="Lentelstinklelis"/>
    <w:uiPriority w:val="39"/>
    <w:rsid w:val="007D627F"/>
    <w:pPr>
      <w:spacing w:after="0" w:line="240" w:lineRule="auto"/>
    </w:pPr>
    <w:rPr>
      <w:rFonts w:eastAsia="Times New Roman" w:cs="Times New Roman"/>
      <w:kern w:val="0"/>
      <w:sz w:val="20"/>
      <w:szCs w:val="20"/>
      <w:lang w:eastAsia="lt-LT"/>
      <w14:ligatures w14:val="none"/>
    </w:rPr>
    <w:tblPr/>
  </w:style>
  <w:style w:type="table" w:customStyle="1" w:styleId="Lentelstinklelis13">
    <w:name w:val="Lentelės tinklelis13"/>
    <w:basedOn w:val="prastojilentel"/>
    <w:next w:val="Lentelstinklelis"/>
    <w:uiPriority w:val="39"/>
    <w:rsid w:val="00FE5F02"/>
    <w:pPr>
      <w:spacing w:after="0" w:line="240" w:lineRule="auto"/>
    </w:pPr>
    <w:rPr>
      <w:rFonts w:eastAsia="Times New Roman" w:cs="Times New Roman"/>
      <w:kern w:val="0"/>
      <w:sz w:val="20"/>
      <w:szCs w:val="20"/>
      <w:lang w:eastAsia="lt-LT"/>
      <w14:ligatures w14:val="none"/>
    </w:rPr>
    <w:tblPr/>
  </w:style>
  <w:style w:type="table" w:customStyle="1" w:styleId="Lentelstinklelis14">
    <w:name w:val="Lentelės tinklelis14"/>
    <w:basedOn w:val="prastojilentel"/>
    <w:next w:val="Lentelstinklelis"/>
    <w:uiPriority w:val="59"/>
    <w:rsid w:val="00927E97"/>
    <w:pPr>
      <w:spacing w:after="0" w:line="240" w:lineRule="auto"/>
    </w:pPr>
    <w:rPr>
      <w:rFonts w:eastAsia="Times New Roman" w:cs="Times New Roman"/>
      <w:kern w:val="0"/>
      <w:sz w:val="20"/>
      <w:szCs w:val="20"/>
      <w:lang w:eastAsia="lt-LT"/>
      <w14:ligatures w14:val="none"/>
    </w:rPr>
    <w:tblPr>
      <w:tblInd w:w="0" w:type="nil"/>
    </w:tblPr>
  </w:style>
  <w:style w:type="table" w:customStyle="1" w:styleId="Lentelstinklelis15">
    <w:name w:val="Lentelės tinklelis15"/>
    <w:basedOn w:val="prastojilentel"/>
    <w:next w:val="Lentelstinklelis"/>
    <w:uiPriority w:val="39"/>
    <w:rsid w:val="00CC3620"/>
    <w:pPr>
      <w:spacing w:after="0" w:line="240" w:lineRule="auto"/>
    </w:pPr>
    <w:rPr>
      <w:rFonts w:eastAsia="Times New Roman" w:cs="Times New Roman"/>
      <w:kern w:val="0"/>
      <w:sz w:val="20"/>
      <w:szCs w:val="20"/>
      <w:lang w:eastAsia="lt-LT"/>
      <w14:ligatures w14:val="none"/>
    </w:rPr>
    <w:tblPr/>
  </w:style>
  <w:style w:type="table" w:customStyle="1" w:styleId="Lentelstinklelis16">
    <w:name w:val="Lentelės tinklelis16"/>
    <w:basedOn w:val="prastojilentel"/>
    <w:next w:val="Lentelstinklelis"/>
    <w:uiPriority w:val="39"/>
    <w:rsid w:val="005832A8"/>
    <w:pPr>
      <w:spacing w:after="0" w:line="240" w:lineRule="auto"/>
    </w:pPr>
    <w:rPr>
      <w:rFonts w:ascii="Aptos" w:hAnsi="Aptos"/>
      <w:sz w:val="22"/>
    </w:rPr>
    <w:tblPr/>
  </w:style>
  <w:style w:type="character" w:styleId="Neapdorotaspaminjimas">
    <w:name w:val="Unresolved Mention"/>
    <w:basedOn w:val="Numatytasispastraiposriftas"/>
    <w:uiPriority w:val="99"/>
    <w:semiHidden/>
    <w:unhideWhenUsed/>
    <w:rsid w:val="007E08B1"/>
    <w:rPr>
      <w:color w:val="605E5C"/>
      <w:shd w:val="clear" w:color="auto" w:fill="E1DFDD"/>
    </w:rPr>
  </w:style>
  <w:style w:type="paragraph" w:customStyle="1" w:styleId="CM1">
    <w:name w:val="CM1"/>
    <w:basedOn w:val="prastasis"/>
    <w:next w:val="prastasis"/>
    <w:uiPriority w:val="99"/>
    <w:rsid w:val="00FD70EA"/>
    <w:pPr>
      <w:autoSpaceDE w:val="0"/>
      <w:autoSpaceDN w:val="0"/>
      <w:adjustRightInd w:val="0"/>
      <w:spacing w:after="0" w:line="240" w:lineRule="auto"/>
    </w:pPr>
    <w:rPr>
      <w:rFonts w:ascii="EUAlbertina" w:eastAsia="Calibri" w:hAnsi="EUAlbertina" w:cs="Times New Roman"/>
      <w:sz w:val="24"/>
      <w:szCs w:val="24"/>
    </w:rPr>
  </w:style>
  <w:style w:type="numbering" w:customStyle="1" w:styleId="Esamassraas1">
    <w:name w:val="Esamas sąrašas1"/>
    <w:uiPriority w:val="99"/>
    <w:rsid w:val="001021EF"/>
    <w:pPr>
      <w:numPr>
        <w:numId w:val="37"/>
      </w:numPr>
    </w:pPr>
  </w:style>
  <w:style w:type="paragraph" w:styleId="prastasiniatinklio">
    <w:name w:val="Normal (Web)"/>
    <w:basedOn w:val="prastasis"/>
    <w:uiPriority w:val="99"/>
    <w:semiHidden/>
    <w:unhideWhenUsed/>
    <w:rsid w:val="009605EB"/>
    <w:rPr>
      <w:rFonts w:ascii="Times New Roman" w:hAnsi="Times New Roman" w:cs="Times New Roman"/>
      <w:sz w:val="24"/>
      <w:szCs w:val="24"/>
    </w:rPr>
  </w:style>
  <w:style w:type="table" w:customStyle="1" w:styleId="Lentelstinklelis17">
    <w:name w:val="Lentelės tinklelis17"/>
    <w:basedOn w:val="prastojilentel"/>
    <w:next w:val="Lentelstinklelis"/>
    <w:uiPriority w:val="59"/>
    <w:rsid w:val="00A26D0C"/>
    <w:pPr>
      <w:spacing w:after="0" w:line="240" w:lineRule="auto"/>
    </w:pPr>
    <w:rPr>
      <w:rFonts w:eastAsia="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641968">
      <w:bodyDiv w:val="1"/>
      <w:marLeft w:val="0"/>
      <w:marRight w:val="0"/>
      <w:marTop w:val="0"/>
      <w:marBottom w:val="0"/>
      <w:divBdr>
        <w:top w:val="none" w:sz="0" w:space="0" w:color="auto"/>
        <w:left w:val="none" w:sz="0" w:space="0" w:color="auto"/>
        <w:bottom w:val="none" w:sz="0" w:space="0" w:color="auto"/>
        <w:right w:val="none" w:sz="0" w:space="0" w:color="auto"/>
      </w:divBdr>
    </w:div>
    <w:div w:id="104468728">
      <w:bodyDiv w:val="1"/>
      <w:marLeft w:val="0"/>
      <w:marRight w:val="0"/>
      <w:marTop w:val="0"/>
      <w:marBottom w:val="0"/>
      <w:divBdr>
        <w:top w:val="none" w:sz="0" w:space="0" w:color="auto"/>
        <w:left w:val="none" w:sz="0" w:space="0" w:color="auto"/>
        <w:bottom w:val="none" w:sz="0" w:space="0" w:color="auto"/>
        <w:right w:val="none" w:sz="0" w:space="0" w:color="auto"/>
      </w:divBdr>
    </w:div>
    <w:div w:id="531575651">
      <w:bodyDiv w:val="1"/>
      <w:marLeft w:val="0"/>
      <w:marRight w:val="0"/>
      <w:marTop w:val="0"/>
      <w:marBottom w:val="0"/>
      <w:divBdr>
        <w:top w:val="none" w:sz="0" w:space="0" w:color="auto"/>
        <w:left w:val="none" w:sz="0" w:space="0" w:color="auto"/>
        <w:bottom w:val="none" w:sz="0" w:space="0" w:color="auto"/>
        <w:right w:val="none" w:sz="0" w:space="0" w:color="auto"/>
      </w:divBdr>
    </w:div>
    <w:div w:id="959913937">
      <w:bodyDiv w:val="1"/>
      <w:marLeft w:val="0"/>
      <w:marRight w:val="0"/>
      <w:marTop w:val="0"/>
      <w:marBottom w:val="0"/>
      <w:divBdr>
        <w:top w:val="none" w:sz="0" w:space="0" w:color="auto"/>
        <w:left w:val="none" w:sz="0" w:space="0" w:color="auto"/>
        <w:bottom w:val="none" w:sz="0" w:space="0" w:color="auto"/>
        <w:right w:val="none" w:sz="0" w:space="0" w:color="auto"/>
      </w:divBdr>
    </w:div>
    <w:div w:id="1115710095">
      <w:bodyDiv w:val="1"/>
      <w:marLeft w:val="0"/>
      <w:marRight w:val="0"/>
      <w:marTop w:val="0"/>
      <w:marBottom w:val="0"/>
      <w:divBdr>
        <w:top w:val="none" w:sz="0" w:space="0" w:color="auto"/>
        <w:left w:val="none" w:sz="0" w:space="0" w:color="auto"/>
        <w:bottom w:val="none" w:sz="0" w:space="0" w:color="auto"/>
        <w:right w:val="none" w:sz="0" w:space="0" w:color="auto"/>
      </w:divBdr>
    </w:div>
    <w:div w:id="1261257361">
      <w:bodyDiv w:val="1"/>
      <w:marLeft w:val="0"/>
      <w:marRight w:val="0"/>
      <w:marTop w:val="0"/>
      <w:marBottom w:val="0"/>
      <w:divBdr>
        <w:top w:val="none" w:sz="0" w:space="0" w:color="auto"/>
        <w:left w:val="none" w:sz="0" w:space="0" w:color="auto"/>
        <w:bottom w:val="none" w:sz="0" w:space="0" w:color="auto"/>
        <w:right w:val="none" w:sz="0" w:space="0" w:color="auto"/>
      </w:divBdr>
    </w:div>
    <w:div w:id="1382560717">
      <w:bodyDiv w:val="1"/>
      <w:marLeft w:val="0"/>
      <w:marRight w:val="0"/>
      <w:marTop w:val="0"/>
      <w:marBottom w:val="0"/>
      <w:divBdr>
        <w:top w:val="none" w:sz="0" w:space="0" w:color="auto"/>
        <w:left w:val="none" w:sz="0" w:space="0" w:color="auto"/>
        <w:bottom w:val="none" w:sz="0" w:space="0" w:color="auto"/>
        <w:right w:val="none" w:sz="0" w:space="0" w:color="auto"/>
      </w:divBdr>
    </w:div>
    <w:div w:id="1404793450">
      <w:bodyDiv w:val="1"/>
      <w:marLeft w:val="0"/>
      <w:marRight w:val="0"/>
      <w:marTop w:val="0"/>
      <w:marBottom w:val="0"/>
      <w:divBdr>
        <w:top w:val="none" w:sz="0" w:space="0" w:color="auto"/>
        <w:left w:val="none" w:sz="0" w:space="0" w:color="auto"/>
        <w:bottom w:val="none" w:sz="0" w:space="0" w:color="auto"/>
        <w:right w:val="none" w:sz="0" w:space="0" w:color="auto"/>
      </w:divBdr>
    </w:div>
    <w:div w:id="1601329212">
      <w:bodyDiv w:val="1"/>
      <w:marLeft w:val="0"/>
      <w:marRight w:val="0"/>
      <w:marTop w:val="0"/>
      <w:marBottom w:val="0"/>
      <w:divBdr>
        <w:top w:val="none" w:sz="0" w:space="0" w:color="auto"/>
        <w:left w:val="none" w:sz="0" w:space="0" w:color="auto"/>
        <w:bottom w:val="none" w:sz="0" w:space="0" w:color="auto"/>
        <w:right w:val="none" w:sz="0" w:space="0" w:color="auto"/>
      </w:divBdr>
    </w:div>
    <w:div w:id="1618177234">
      <w:bodyDiv w:val="1"/>
      <w:marLeft w:val="0"/>
      <w:marRight w:val="0"/>
      <w:marTop w:val="0"/>
      <w:marBottom w:val="0"/>
      <w:divBdr>
        <w:top w:val="none" w:sz="0" w:space="0" w:color="auto"/>
        <w:left w:val="none" w:sz="0" w:space="0" w:color="auto"/>
        <w:bottom w:val="none" w:sz="0" w:space="0" w:color="auto"/>
        <w:right w:val="none" w:sz="0" w:space="0" w:color="auto"/>
      </w:divBdr>
      <w:divsChild>
        <w:div w:id="1793549361">
          <w:marLeft w:val="0"/>
          <w:marRight w:val="0"/>
          <w:marTop w:val="0"/>
          <w:marBottom w:val="0"/>
          <w:divBdr>
            <w:top w:val="none" w:sz="0" w:space="0" w:color="auto"/>
            <w:left w:val="none" w:sz="0" w:space="0" w:color="auto"/>
            <w:bottom w:val="none" w:sz="0" w:space="0" w:color="auto"/>
            <w:right w:val="none" w:sz="0" w:space="0" w:color="auto"/>
          </w:divBdr>
        </w:div>
      </w:divsChild>
    </w:div>
    <w:div w:id="1682507921">
      <w:bodyDiv w:val="1"/>
      <w:marLeft w:val="0"/>
      <w:marRight w:val="0"/>
      <w:marTop w:val="0"/>
      <w:marBottom w:val="0"/>
      <w:divBdr>
        <w:top w:val="none" w:sz="0" w:space="0" w:color="auto"/>
        <w:left w:val="none" w:sz="0" w:space="0" w:color="auto"/>
        <w:bottom w:val="none" w:sz="0" w:space="0" w:color="auto"/>
        <w:right w:val="none" w:sz="0" w:space="0" w:color="auto"/>
      </w:divBdr>
    </w:div>
    <w:div w:id="1856647170">
      <w:bodyDiv w:val="1"/>
      <w:marLeft w:val="0"/>
      <w:marRight w:val="0"/>
      <w:marTop w:val="0"/>
      <w:marBottom w:val="0"/>
      <w:divBdr>
        <w:top w:val="none" w:sz="0" w:space="0" w:color="auto"/>
        <w:left w:val="none" w:sz="0" w:space="0" w:color="auto"/>
        <w:bottom w:val="none" w:sz="0" w:space="0" w:color="auto"/>
        <w:right w:val="none" w:sz="0" w:space="0" w:color="auto"/>
      </w:divBdr>
    </w:div>
    <w:div w:id="2006392668">
      <w:bodyDiv w:val="1"/>
      <w:marLeft w:val="0"/>
      <w:marRight w:val="0"/>
      <w:marTop w:val="0"/>
      <w:marBottom w:val="0"/>
      <w:divBdr>
        <w:top w:val="none" w:sz="0" w:space="0" w:color="auto"/>
        <w:left w:val="none" w:sz="0" w:space="0" w:color="auto"/>
        <w:bottom w:val="none" w:sz="0" w:space="0" w:color="auto"/>
        <w:right w:val="none" w:sz="0" w:space="0" w:color="auto"/>
      </w:divBdr>
    </w:div>
    <w:div w:id="2134204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01D5C0C7019964BA6E444CFF78A6147" ma:contentTypeVersion="9" ma:contentTypeDescription="Create a new document." ma:contentTypeScope="" ma:versionID="ea03f8fea7663c66f355f1dd732ed437">
  <xsd:schema xmlns:xsd="http://www.w3.org/2001/XMLSchema" xmlns:xs="http://www.w3.org/2001/XMLSchema" xmlns:p="http://schemas.microsoft.com/office/2006/metadata/properties" xmlns:ns2="e363201a-d761-49ef-afc2-03171d55f11d" xmlns:ns3="1277bd48-28a4-4c00-a55e-3f305905eb9e" targetNamespace="http://schemas.microsoft.com/office/2006/metadata/properties" ma:root="true" ma:fieldsID="1ab9d1a462f9c13c3f4bf310b8281b13" ns2:_="" ns3:_="">
    <xsd:import namespace="e363201a-d761-49ef-afc2-03171d55f11d"/>
    <xsd:import namespace="1277bd48-28a4-4c00-a55e-3f305905eb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83e4a36-fc0f-4cb5-85cd-a2cb4880730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77bd48-28a4-4c00-a55e-3f305905eb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b52172e-93fc-41bb-b8ed-0a25ed6b94b7}" ma:internalName="TaxCatchAll" ma:showField="CatchAllData" ma:web="1277bd48-28a4-4c00-a55e-3f305905eb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363201a-d761-49ef-afc2-03171d55f11d">
      <Terms xmlns="http://schemas.microsoft.com/office/infopath/2007/PartnerControls"/>
    </lcf76f155ced4ddcb4097134ff3c332f>
    <TaxCatchAll xmlns="1277bd48-28a4-4c00-a55e-3f305905eb9e" xsi:nil="true"/>
  </documentManagement>
</p:properties>
</file>

<file path=customXml/itemProps1.xml><?xml version="1.0" encoding="utf-8"?>
<ds:datastoreItem xmlns:ds="http://schemas.openxmlformats.org/officeDocument/2006/customXml" ds:itemID="{F50A529D-74EE-44E3-B301-934EDD2B39E4}">
  <ds:schemaRefs>
    <ds:schemaRef ds:uri="http://schemas.microsoft.com/sharepoint/v3/contenttype/forms"/>
  </ds:schemaRefs>
</ds:datastoreItem>
</file>

<file path=customXml/itemProps2.xml><?xml version="1.0" encoding="utf-8"?>
<ds:datastoreItem xmlns:ds="http://schemas.openxmlformats.org/officeDocument/2006/customXml" ds:itemID="{2699CA88-FD6E-4F83-80D8-D4C8A1D6FB65}">
  <ds:schemaRefs>
    <ds:schemaRef ds:uri="http://schemas.openxmlformats.org/officeDocument/2006/bibliography"/>
  </ds:schemaRefs>
</ds:datastoreItem>
</file>

<file path=customXml/itemProps3.xml><?xml version="1.0" encoding="utf-8"?>
<ds:datastoreItem xmlns:ds="http://schemas.openxmlformats.org/officeDocument/2006/customXml" ds:itemID="{02104F05-628F-4283-AF8A-CD24FA6EAB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1277bd48-28a4-4c00-a55e-3f305905eb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3A12F2-9F0F-492A-A5A8-F56386B023D6}">
  <ds:schemaRefs>
    <ds:schemaRef ds:uri="http://schemas.microsoft.com/office/2006/metadata/properties"/>
    <ds:schemaRef ds:uri="http://schemas.microsoft.com/office/infopath/2007/PartnerControls"/>
    <ds:schemaRef ds:uri="1d3dc302-d401-4fcb-a11f-81556f32ee8b"/>
    <ds:schemaRef ds:uri="fcbf9a42-00c4-4ae3-b00a-d895fdb9c8c8"/>
    <ds:schemaRef ds:uri="e363201a-d761-49ef-afc2-03171d55f11d"/>
    <ds:schemaRef ds:uri="1277bd48-28a4-4c00-a55e-3f305905eb9e"/>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16685</Words>
  <Characters>9511</Characters>
  <Application>Microsoft Office Word</Application>
  <DocSecurity>0</DocSecurity>
  <Lines>79</Lines>
  <Paragraphs>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Žuklys</dc:creator>
  <cp:keywords/>
  <dc:description/>
  <cp:lastModifiedBy>Darius Žuklys</cp:lastModifiedBy>
  <cp:revision>3324</cp:revision>
  <cp:lastPrinted>2025-11-11T04:37:00Z</cp:lastPrinted>
  <dcterms:created xsi:type="dcterms:W3CDTF">2025-06-28T16:34:00Z</dcterms:created>
  <dcterms:modified xsi:type="dcterms:W3CDTF">2026-05-04T06:57:00Z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y fmtid="{D5CDD505-2E9C-101B-9397-08002B2CF9AE}" pid="3" name="MediaServiceImageTags">
    <vt:lpwstr/>
  </property>
</Properties>
</file>